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SeelotAusbNOKIV</w:t>
      </w:r>
    </w:p>
    <w:p>
      <w:r>
        <w:rPr>
          <w:color w:val="555555"/>
          <w:sz w:val="18"/>
        </w:rPr>
        <w:t xml:space="preserve">NOK I Seelotsen-Grundausbildungs-Verordnung</w:t>
      </w:r>
    </w:p>
    <w:p>
      <w:r>
        <w:rPr>
          <w:color w:val="555555"/>
          <w:sz w:val="18"/>
        </w:rPr>
        <w:t xml:space="preserve">Historische Fassung: Stand 10.06.2019 bis 25.02.2023. Dies ist nicht die aktuelle Fassung.</w:t>
      </w:r>
    </w:p>
    <w:p>
      <w:r>
        <w:t xml:space="preserve">Auf Grund des § 9 Abs. 3 des Seelotsgesetzes in der Fassung der Bekanntmachung vom 13. September 1984 (BGBl. I S. 1213), der durch Artikel 1 Nr. 2 des Gesetzes vom 28. Juli 2008 (BGBl. I S. 1507) neu gefasst worden ist,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SeelotAusbNOKIV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https://recht.nulegal.eu/gesetze/SeelotAusbNOKIV/eingangsformel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