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SeelotAusbNOKIV — Geltungsbereich</w:t>
      </w:r>
    </w:p>
    <w:p>
      <w:r>
        <w:rPr>
          <w:color w:val="555555"/>
          <w:sz w:val="18"/>
        </w:rPr>
        <w:t xml:space="preserve">NOK I Seelotsen-Grundausbildungs-Verordnung</w:t>
      </w:r>
    </w:p>
    <w:p>
      <w:r>
        <w:rPr>
          <w:color w:val="555555"/>
          <w:sz w:val="18"/>
        </w:rPr>
        <w:t xml:space="preserve">Historische Fassung: Stand 10.06.2019 bis 25.02.2023. Dies ist nicht die aktuelle Fassung.</w:t>
      </w:r>
    </w:p>
    <w:p>
      <w:r>
        <w:t xml:space="preserve">Diese Verordnung gilt für das Seelotsrevier Nord-Ostsee-Kanal I.</w:t>
      </w:r>
    </w:p>
    <w:p>
      <w:r>
        <w:rPr>
          <w:color w:val="555555"/>
          <w:sz w:val="17"/>
        </w:rPr>
        <w:t xml:space="preserve">Zitiervorschlag: § 1 SeelotAusbNOKIV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https://recht.nulegal.eu/gesetze/SeelotAusbNOKIV/1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SeelotAusbNOKIV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