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SeegerVorRV</w:t>
      </w:r>
    </w:p>
    <w:p>
      <w:r>
        <w:rPr>
          <w:color w:val="555555"/>
          <w:sz w:val="18"/>
        </w:rPr>
        <w:t xml:space="preserve">Verordnung über Vorrechte und Immunitäten des Internationalen Seegerichtshofs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SeegerVorRV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https://recht.nulegal.eu/gesetze/SeegerVorRV/schlussformel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SeegerVorRV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