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SeegerVorRV</w:t>
      </w:r>
    </w:p>
    <w:p>
      <w:r>
        <w:rPr>
          <w:color w:val="555555"/>
          <w:sz w:val="18"/>
        </w:rPr>
        <w:t xml:space="preserve">Verordnung über Vorrechte und Immunitäten des Internationalen Seegerichtshofs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mit Wirkung vom 1. August 1996 in Kraft, Artikel 1 Abs. 2 dieser Verordnung in bezug auf Befreiungen von der Gerichtsbarkeit mit Wirkung vom Tage nach der Verkündung.</w:t>
      </w:r>
    </w:p>
    <w:p>
      <w:r>
        <w:t xml:space="preserve">(2) Diese Verordnung tritt an dem Tage außer Kraft, an dem ein Abkommen zwischen dem Internationalen Seegerichtshof und der Bundesrepublik Deutschland über Vorrechte und Immunitäten in Kraft tritt.</w:t>
      </w:r>
    </w:p>
    <w:p>
      <w:r>
        <w:t xml:space="preserve">(3) Der Tag des Außerkrafttretens der Verordnung ist im Bundesgesetzblatt bekanntzugeben.</w:t>
      </w:r>
    </w:p>
    <w:p>
      <w:r>
        <w:rPr>
          <w:color w:val="555555"/>
          <w:sz w:val="17"/>
        </w:rPr>
        <w:t xml:space="preserve">Zitiervorschlag: Art 2 SeegerVorRV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https://recht.nulegal.eu/gesetze/SeegerVorRV/2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