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SeefiV</w:t>
      </w:r>
    </w:p>
    <w:p>
      <w:r>
        <w:rPr>
          <w:color w:val="555555"/>
          <w:sz w:val="18"/>
        </w:rPr>
        <w:t xml:space="preserve">Seefischereiverordnung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der §§ 2 und 6 Abs. 3 des Seefischereigesetzes vom 12. Juli 1984 (BGBl. I S. 876) wird verordnet:</w:t>
      </w:r>
    </w:p>
    <w:p>
      <w:r>
        <w:rPr>
          <w:color w:val="555555"/>
          <w:sz w:val="17"/>
        </w:rPr>
        <w:t xml:space="preserve">Zitiervorschlag: Eingangsformel SeefiV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https://recht.nulegal.eu/gesetze/SeefiV/eingangsformel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