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SeefiV — Überprüfung von Satellitenortungsanlagen und elektronischen Aufzeichnungs- und Meldesystemen</w:t>
      </w:r>
    </w:p>
    <w:p>
      <w:r>
        <w:rPr>
          <w:color w:val="555555"/>
          <w:sz w:val="18"/>
        </w:rPr>
        <w:t xml:space="preserve">Seefischereiverordnung</w:t>
      </w:r>
    </w:p>
    <w:p>
      <w:r>
        <w:rPr>
          <w:color w:val="555555"/>
          <w:sz w:val="18"/>
        </w:rPr>
        <w:t xml:space="preserve">Stand: 10.06.2019 (konsolidierte Textfassung, kein amtliches Inkrafttretensdatum)</w:t>
      </w:r>
    </w:p>
    <w:p>
      <w:r>
        <w:t xml:space="preserve">Zur Überprüfung der Satellitenortungsanlage oder des elektronischen Aufzeichnungs- und Meldesystems im Sinne des Artikels 26 Absatz 1 Satz 2 und des Artikels 40 Absatz 1 Satz 2 der Durchführungsverordnung (EU) Nr. 404/2011 der Kommission vom 8. April 2011 mit Durchführungsbestimmungen zu der Verordnung (EG) Nr. 1224/2009 des Rates zur Einführung einer gemeinschaftlichen Kontrollregelung zur Sicherstellung der Einhaltung der Vorschriften der gemeinsamen Fischereipolitik (ABl. L 112 vom 30.4.2011, S. 1; L 328 vom 10.12.2011, S. 58; L 125 vom 12.5.2012, S. 54), die durch die Durchführungsverordnung (EU) 2015/1962 (ABl. L 287 vom 31.10.2015, S. 6) geändert worden ist, in der jeweils geltenden Fassung kann die Bundesanstalt eine Untersuchung der Anlage oder des Systems anordnen. Die Überprüfung hat durch einen Fachbetrieb auf Kosten des Inhabers der Fanglizenz zu erfolgen.</w:t>
      </w:r>
    </w:p>
    <w:p>
      <w:r>
        <w:rPr>
          <w:color w:val="555555"/>
          <w:sz w:val="17"/>
        </w:rPr>
        <w:t xml:space="preserve">Zitiervorschlag: § 9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