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SeefiV — Ausnahmen</w:t>
      </w:r>
    </w:p>
    <w:p>
      <w:r>
        <w:rPr>
          <w:color w:val="555555"/>
          <w:sz w:val="18"/>
        </w:rPr>
        <w:t xml:space="preserve">Seefischereiverordnung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Vorschriften dieser Verordnung gelten nicht für Fänge, die</w:t>
      </w:r>
    </w:p>
    <w:p>
      <w:pPr>
        <w:ind w:left="420"/>
      </w:pPr>
      <w:r>
        <w:t xml:space="preserve">1. nur für Zwecke</w:t>
      </w:r>
    </w:p>
    <w:p>
      <w:pPr>
        <w:ind w:left="780"/>
      </w:pPr>
      <w:r>
        <w:t xml:space="preserve">a) der wissenschaftlichen Forschung oder</w:t>
      </w:r>
    </w:p>
    <w:p>
      <w:pPr>
        <w:ind w:left="780"/>
      </w:pPr>
      <w:r>
        <w:t xml:space="preserve">b) für die Bestandsaufstockung</w:t>
      </w:r>
    </w:p>
    <w:p>
      <w:pPr>
        <w:ind w:left="420"/>
      </w:pPr>
      <w:r>
        <w:t xml:space="preserve">oder bei dieser Gelegenheit oder</w:t>
      </w:r>
    </w:p>
    <w:p>
      <w:pPr>
        <w:ind w:left="420"/>
      </w:pPr>
      <w:r>
        <w:t xml:space="preserve">2. befristet zur Feststellung der Wirtschaftlichkeit einer Fischerei, wenn die betreffende Fangtätigkeit zur Prüfung der fischereibiologischen Verträglichkeit wissenschaftlich begleitet wird,</w:t>
      </w:r>
    </w:p>
    <w:p>
      <w:r>
        <w:t xml:space="preserve">von hierzu ermächtigten Fischereifahrzeugen vorgenommen werden.</w:t>
      </w:r>
    </w:p>
    <w:p>
      <w:r>
        <w:t xml:space="preserve">(2) Die Ermächtigung erfolgt im Falle des Absatzes 1 Nr. 1 durch die Bundesanstalt oder die zuständige Dienststelle eines anderen Mitgliedstaates der Europäischen Union, im Falle des Absatzes 1 Nr. 2 durch das Bundesministerium für Ernährung und Landwirtschaft (Bundesministerium) im Einvernehmen mit den für die Fischerei in den Küstengewässern der Bundesrepublik Deutschland zuständigen obersten Landesbehörden.</w:t>
      </w:r>
    </w:p>
    <w:p>
      <w:r>
        <w:t xml:space="preserve">(3) Fische, die nach Absatz 1 gefangen werden, dürfen nur im Rahmen der gemeinschaftsrechtlichen oder unionsrechtlichen Vorschriften verkauft oder zum Kauf angeboten werden.</w:t>
      </w:r>
    </w:p>
    <w:p>
      <w:r>
        <w:rPr>
          <w:color w:val="555555"/>
          <w:sz w:val="17"/>
        </w:rPr>
        <w:t xml:space="preserve">Zitiervorschlag: § 7 SeefiV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https://recht.nulegal.eu/gesetze/SeefiV/7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