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SeefiV — Verbindliche Anlandeorte</w:t>
      </w:r>
    </w:p>
    <w:p>
      <w:r>
        <w:rPr>
          <w:color w:val="555555"/>
          <w:sz w:val="18"/>
        </w:rPr>
        <w:t xml:space="preserve">Seefischereiverordnung</w:t>
      </w:r>
    </w:p>
    <w:p>
      <w:r>
        <w:rPr>
          <w:color w:val="555555"/>
          <w:sz w:val="18"/>
        </w:rPr>
        <w:t xml:space="preserve">Stand: 10.06.2019 (konsolidierte Textfassung, kein amtliches Inkrafttretensdatum)</w:t>
      </w:r>
    </w:p>
    <w:p>
      <w:r>
        <w:t xml:space="preserve">(1) Soweit nicht nach § 6 oder auf Grund von Vorschriften des Fischereirechts der Europäischen Union etwas anderes geregelt ist, gelten für die Anlandungen von Fischereifahrzeugen mit einer Länge über alles von 12 Meter oder mehr die allgemeinen Bestimmungen nach Absatz 2 und 3.</w:t>
      </w:r>
    </w:p>
    <w:p>
      <w:r>
        <w:t xml:space="preserve">(2) Fische im Sinne des § 1a Absatz 2 des Seefischereigesetzes, deren Fang einer Fangerlaubnis oder einer besonderen Genehmigung nach § 4 Satz 1 des Seefischereigesetzes bedarf, dürfen vorbehaltlich des Absatzes 3 durch Kapitäne von Fischereifahrzeugen mit einer Länge über alles von 12 Meter oder mehr in der Bundesrepublik Deutschland nur an den verbindlichen Anlandeorten angelandet werden, die in Anlage 3 aufgeführt sind.</w:t>
      </w:r>
    </w:p>
    <w:p>
      <w:r>
        <w:t xml:space="preserve">(3) Wurden Fänge mit den in Absatz 2 genannten Fischereifahrzeugen herkömmlich an anderen Orten angelandet, so ist dies im bisherigen Maße weiterhin zulässig. Gleiches gilt für Anlandungen im Registrier- oder Heimathafen des betroffenen Fischereifahrzeugs.</w:t>
      </w:r>
    </w:p>
    <w:p>
      <w:r>
        <w:rPr>
          <w:color w:val="555555"/>
          <w:sz w:val="17"/>
        </w:rPr>
        <w:t xml:space="preserve">Zitiervorschlag: § 5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