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SeefiV — Einfuhr und Ausfuhr von Fischereierzeugnissen</w:t>
      </w:r>
    </w:p>
    <w:p>
      <w:r>
        <w:rPr>
          <w:color w:val="555555"/>
          <w:sz w:val="18"/>
        </w:rPr>
        <w:t xml:space="preserve">Seefischereiverordnung</w:t>
      </w:r>
    </w:p>
    <w:p>
      <w:r>
        <w:rPr>
          <w:color w:val="555555"/>
          <w:sz w:val="18"/>
        </w:rPr>
        <w:t xml:space="preserve">Stand: 10.06.2019 (konsolidierte Textfassung, kein amtliches Inkrafttretensdatum)</w:t>
      </w:r>
    </w:p>
    <w:p>
      <w:r>
        <w:t xml:space="preserve">(1) Werden Fischereierzeugnisse bei der Einfuhr in ein Versandverfahren nach Artikel 4 Nummer 16 Buchstabe b der Verordnung (EWG) Nr. 2913/92 des Rates vom 12. Oktober 1992 zur Festlegung des Zollkodex der Gemeinschaften (ABl. L 302 vom 19.10.1992, S. 1) in der jeweils geltenden Fassung überführt und an einem anderen Ort im Hoheitsgebiet in den zollrechtlich freien Verkehr nach Artikel 4 Nummer 16 Buchstabe a der Verordnung (EWG) Nr. 2913/92 überführt, so sind die Artikel 16, 17 und 18 der Verordnung (EG) Nr. 1005/2008 des Rates vom 29. September 2008 über ein Gemeinschaftssystem zur Verhinderung, Bekämpfung und Unterbindung der illegalen, nicht gemeldeten und unregulierten Fischerei, zur Änderung der Verordnungen (EWG) Nr. 2847/93, (EG) Nr. 1936/2001 und (EG) Nr. 601/2004 und zur Aufhebung der Verordnungen (EG) Nr. 1093/94 und (EG) Nr. 1447/1999 (ABl. L 286 vom 29.10.2008, S. 1) in der jeweils geltenden Fassung an dem Ort anzuwenden, an dem die Fischereierzeugnisse in den zollrechtlich freien Verkehr überführt werden.</w:t>
      </w:r>
    </w:p>
    <w:p>
      <w:r>
        <w:t xml:space="preserve">(2) Der hinreichende Umfang von Einfuhrvorgängen und Einfuhrmengen im Sinne des Artikels 16 Absatz 3 Buchstabe b der Verordnung (EG) Nr. 1005/2008, auch in Verbindung mit Artikel 10 Absatz 1 der Verordnung (EG) Nr. 1010/2009 der Kommission vom 22. Oktober 2009 mit Durchführungsbestimmungen zu der Verordnung (EG) Nr. 1005/2008 des Rates über ein Gemeinschaftssystem zur Verhinderung, Bekämpfung und Unterbindung der illegalen, nicht gemeldeten und unregulierten Fischerei (ABl. L 280 vom 27.10.2009, S. 5) in der jeweils geltenden Fassung, als Voraussetzung für die Bewilligung des Status eines anerkannten Wirtschaftsbeteiligten liegt vor, wenn der Antragsteller Einfuhren von 10 Tonnen Fischereierzeugnissen pro Jahr oder mehr nachweisen kann.</w:t>
      </w:r>
    </w:p>
    <w:p>
      <w:r>
        <w:rPr>
          <w:color w:val="555555"/>
          <w:sz w:val="17"/>
        </w:rPr>
        <w:t xml:space="preserve">Zitiervorschlag: § 20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