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SeefiV — Beschränkungen der Fischerei</w:t>
      </w:r>
    </w:p>
    <w:p>
      <w:r>
        <w:rPr>
          <w:color w:val="555555"/>
          <w:sz w:val="18"/>
        </w:rPr>
        <w:t xml:space="preserve">Seefischereiverordnung</w:t>
      </w:r>
    </w:p>
    <w:p>
      <w:r>
        <w:rPr>
          <w:color w:val="555555"/>
          <w:sz w:val="18"/>
        </w:rPr>
        <w:t xml:space="preserve">Stand: 10.06.2019 (konsolidierte Textfassung, kein amtliches Inkrafttretensdatum)</w:t>
      </w:r>
    </w:p>
    <w:p>
      <w:r>
        <w:t xml:space="preserve">(1) Für Zeiträume, für die zu erwarten ist, dass auf Grund des Fischereirechts der Europäischen Union die Seefischerei mengenmäßig beschränkt wird, für die die gemeinschaftsrechtliche oder unionsrechtliche Regelung jedoch noch nicht in Kraft getreten ist, wird der Fang der in Anlage 1 zu dieser Verordnung bezeichneten Fischarten bis zum Inkrafttreten der gemeinschaftsrechtlichen oder unionsrechtlichen Regelung in Höhe der voraussichtlichen gemeinschaftsrechtlichen oder unionsrechtlichen Fangquoten mengenmäßig beschränkt. Die Bundesanstalt macht die voraussichtlichen gemeinschaftsrechtlichen oder unionsrechtlichen Fangquoten im Bundesanzeiger bekannt.</w:t>
      </w:r>
    </w:p>
    <w:p>
      <w:r>
        <w:t xml:space="preserve">(2) Mit einer Fanglizenz nach Artikel 6 Absatz 1 der Verordnung (EG) Nr. 1224/2009 des Rates vom 20. November 2009 zur Einführung einer gemeinschaftlichen Kontrollregelung zur Sicherstellung der Einhaltung der Vorschriften der gemeinsamen Fischereipolitik und zur Änderung der Verordnungen (EG) Nr. 847/96, (EG) Nr. 2371/2002, (EG) Nr. 811/2004, (EG) Nr. 768/2005, (EG) Nr. 2115/2005, (EG) Nr. 2166/2005, (EG) Nr. 388/2006, (EG) Nr. 509/2007, (EG) Nr. 676/2007, (EG) Nr. 1098/2007, (EG) Nr. 1300/2008, (EG) Nr. 1342/2008 sowie zur Aufhebung der Verordnungen (EWG) Nr. 2847/93, (EG) Nr. 1627/94 und (EG) Nr. 1966/2006 (ABl. L 343 vom 22.12.2009, S. 1) darf mit Fischereifahrzeugen, die berechtigt sind, die Bundesflagge zu führen,</w:t>
      </w:r>
    </w:p>
    <w:p>
      <w:pPr>
        <w:ind w:left="420"/>
      </w:pPr>
      <w:r>
        <w:t xml:space="preserve">1. in den ICES-Bereichen IIIa, IIIb, IIIc und IIId und in den ICES-Bereichen IVb und IVc östlich 4 Grad östlicher Länge mit Fischereifahrzeugen mit einer Bruttoraumzahl von mehr als 800 und</w:t>
      </w:r>
    </w:p>
    <w:p>
      <w:pPr>
        <w:ind w:left="420"/>
      </w:pPr>
      <w:r>
        <w:t xml:space="preserve">2. in den ICES-Bereichen IIIc und IIId innerhalb von zwölf Seemeilen gemessen von der Basislinie vor der Küste der Länder Mecklenburg-Vorpommern und Schleswig-Holstein mit Fischereifahrzeugen mit einer Motorenstärke von mehr als 221 Kilowatt (300 PS)</w:t>
      </w:r>
    </w:p>
    <w:p>
      <w:r>
        <w:t xml:space="preserve">nicht gefischt werden. Abweichend von Satz 1 Nummer 1 darf im ICES-Bereich IIIa, IVb und IVc außerhalb von 12 Seemeilen gemessen von der Basislinie vor der Küste der Länder Niedersachsen und Schleswig-Holstein auf Hering, Sprotte und Sandaal mit Fischereifahrzeugen mit einer Bruttoraumzahl von nicht mehr als 1 000 gefischt werden. Abweichend von Satz 1 Nummer 1 darf im ICES-Bereich IIIc und IIId außerhalb von 12 Seemeilen gemessen von der Basislinie vor der Küste der Länder Mecklenburg-Vorpommern und Schleswig-Holstein auf Hering und Sprotte beim Einsatz pelagischer Schleppnetze mit Fischereifahrzeugen mit einer Bruttoraumzahl von nicht mehr als 1 000 gefischt werden. Abweichend von Satz 1 Nummer 2 darf im ICES-Bereich IIIc und IIId innerhalb von zwölf Seemeilen gemessen von der Basislinie vor der Küste des Landes Mecklenburg-Vorpommern auf Hering oder Sprotte beim Einsatz pelagischer Schleppnetze mit Fischereifahrzeugen mit einer Motorenstärke von nicht mehr als 588 Kilowatt (800 PS) gefischt werden. Die ICES-Bereiche sind festgelegt im Anhang III der Verordnung (EG) Nr. 218/2009 des Europäischen Parlaments und des Rates vom 11. März 2009 über die Vorlage von Fangstatistiken durch die Mitgliedstaaten, die im Nordostatlantik Fischfang betreiben (ABl. L 87 vom 31.3.2009, S. 70), die zuletzt durch die Verordnung (EU) Nr. 1350/2013 (ABl. L 351 vom 21.12.2013, S. 1) geändert worden ist, in der jeweils geltenden Fassung.</w:t>
      </w:r>
    </w:p>
    <w:p>
      <w:r>
        <w:t xml:space="preserve">(3) Die Zertifizierung der Maschinenleistung nach Artikel 40 der Verordnung (EG) Nr. 1224/2009 für Fischereifahrzeuge, die berechtigt sind, die Bundesflagge zu führen, ist durch eine Bescheinigung einer nach Artikel 4 Absatz 1 der Verordnung (EG) Nr. 391/2009 des Europäischen Parlaments und des Rates vom 23. April 2009 über gemeinsame Vorschriften und Normen für Schiffsüberprüfungs- und -besichtigungsorganisationen (ABl. L 131 vom 28.5.2009, S. 11) von der Europäischen Union anerkannten Organisation zu erbringen.</w:t>
      </w:r>
    </w:p>
    <w:p>
      <w:r>
        <w:t xml:space="preserve">(4) Wird nach dem Fischereirecht der Europäischen Union eine bestimmte Maschinenleistung als Zulassungserfordernis für Fischereifahrzeuge für die Fischerei in bestimmten Gebieten festgelegt, ist die Fischerei in diesen Gebieten mit Fischereifahrzeugen, die eine höhere als die nach dem Fischereirecht der Europäischen Union vorgesehene Maschinenleistung aufweisen, verboten.</w:t>
      </w:r>
    </w:p>
    <w:p>
      <w:r>
        <w:rPr>
          <w:color w:val="555555"/>
          <w:sz w:val="17"/>
        </w:rPr>
        <w:t xml:space="preserve">Zitiervorschlag: § 2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