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SeefiV — Ausnahmen für die küstennahe Fischerei und die Tagesfischerei</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Die Verpflichtungen auf Grund des Fischereirechts der Europäischen Union</w:t>
      </w:r>
    </w:p>
    <w:p>
      <w:pPr>
        <w:ind w:left="420"/>
      </w:pPr>
      <w:r>
        <w:t xml:space="preserve">1. zur Ausrüstung mit einem satellitengestützten Schiffsüberwachungssystem,</w:t>
      </w:r>
    </w:p>
    <w:p>
      <w:pPr>
        <w:ind w:left="420"/>
      </w:pPr>
      <w:r>
        <w:t xml:space="preserve">2. zum elektronischen Führen und Übermitteln von Fischereilogbuchdaten und</w:t>
      </w:r>
    </w:p>
    <w:p>
      <w:pPr>
        <w:ind w:left="420"/>
      </w:pPr>
      <w:r>
        <w:t xml:space="preserve">3. zum elektronischen Ausfüllen und Übermitteln der Angaben aus der Umladeerklärung und der Anlandeerklärung</w:t>
      </w:r>
    </w:p>
    <w:p>
      <w:r>
        <w:t xml:space="preserve">gelten nach Maßgabe des Absatzes 3 nicht für die Kapitäne von Fischereifahrzeugen, die berechtigt sind, die Bundesflagge zu führen, mit einer Länge über alles von weniger als 15 Meter, die ausschließlich im Küstenmeer tätig sind oder zu keinem Zeitpunkt der jeweiligen Fangreise zwischen dem Auslaufen aus dem Hafen und der Rückkehr in einen Hafen länger als 24 Stunden auf See sind. Bei der Berechnung der 24 Stunden nach Satz 1 bleiben Zeiten, die wegen eines Notfalls oder höherer Gewalt auf See verbracht werden, unberücksichtigt.</w:t>
      </w:r>
    </w:p>
    <w:p>
      <w:r>
        <w:t xml:space="preserve">(2) Die Verpflichtung, die Ausrüstung zur Bergung von verlorenem Fanggerät an Bord mitzuführen, gilt nach Maßgabe des Absatzes 3 nicht für Kapitäne von Fischereifahrzeugen, die berechtigt sind, die Bundesflagge zu führen, mit einer Länge über alles von weniger als 12 Meter, die ausschließlich im Küstenmeer tätig sind oder zu keinem Zeitpunkt der jeweiligen Fangreise zwischen dem Auslaufen aus dem Hafen und der Rückkehr in den Hafen länger als 24 Stunden auf See sind. Absatz 1 Satz 2 gilt entsprechend.</w:t>
      </w:r>
    </w:p>
    <w:p>
      <w:r>
        <w:t xml:space="preserve">(3) Die Ausnahmen werden auf Antrag des Kapitäns für das betroffene Fahrzeug durch die Bundesanstalt gewährt. Die Ausnahmegenehmigung kann verweigert oder widerrufen werden, wenn für den Inhaber der Fanglizenz oder den Kapitän wegen eines schweren Verstoßes in Form</w:t>
      </w:r>
    </w:p>
    <w:p>
      <w:pPr>
        <w:ind w:left="420"/>
      </w:pPr>
      <w:r>
        <w:t xml:space="preserve">a) der Nichterfüllung der Verpflichtungen zur Aufzeichnung und Meldung von Fangdaten oder fangrelevanten Daten, einschließlich der über das satellitengestützte Schiffsüberwachungssystem (VMS) zu übermittelnden Daten,</w:t>
      </w:r>
    </w:p>
    <w:p>
      <w:pPr>
        <w:ind w:left="420"/>
      </w:pPr>
      <w:r>
        <w:t xml:space="preserve">b) des Fischens in einem Schongebiet, während einer Schonzeit, ohne Quote oder nach Ausschöpfen der Quote oder in nicht zulässigen Tiefen gemäß der laufenden Nummer 8 der Anlage 5 oder</w:t>
      </w:r>
    </w:p>
    <w:p>
      <w:pPr>
        <w:ind w:left="420"/>
      </w:pPr>
      <w:r>
        <w:t xml:space="preserve">c) der Behinderung von Fischereiinspektoren bei der Wahrnehmung ihrer Aufgabe oder der Behinderung von Beobachtern bei der Wahrnehmung ihrer Aufgabe gemäß der laufenden Nummer 10 der Anlage 5</w:t>
      </w:r>
    </w:p>
    <w:p>
      <w:r>
        <w:t xml:space="preserve">Punkte festgesetzt worden sind.</w:t>
      </w:r>
    </w:p>
    <w:p>
      <w:r>
        <w:t xml:space="preserve">(4) Ausnahmen im Sinne des Absatzes 1 dürfen nicht für Fischereifahrzeuge gewährt werden, in deren Schiffssicherheitszeugnis oder Schiffsbesatzungszeugnis der Berufsgenossenschaft für Transport und Verkehrswirtschaft als Einsatzgebiet Gebiete eingetragen sind, die ganz oder teilweise als Meeresgebiete im Sinne des § 57 des Bundesnaturschutzgesetzes ausgewiesen sind.</w:t>
      </w:r>
    </w:p>
    <w:p>
      <w:r>
        <w:rPr>
          <w:color w:val="555555"/>
          <w:sz w:val="17"/>
        </w:rPr>
        <w:t xml:space="preserve">Zitiervorschlag: § 13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