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SeedCon-AÜVO (Nordrhein-Westfalen) — Ausschließlichkeit</w:t>
      </w:r>
    </w:p>
    <w:p>
      <w:r>
        <w:rPr>
          <w:color w:val="555555"/>
          <w:sz w:val="18"/>
        </w:rPr>
        <w:t xml:space="preserve">NRW.SeedCon-Aufgabenübertragungsverordnung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der in § 1 aufgeführten Aufgaben und Geschäfte darf die Landesverwaltung Dritte nicht beauftragen. Die NRW.BANK darf sich bei der Erfüllung der Aufgaben und Geschäfte nach § 1 geeigneter Dritter bedienen.</w:t>
      </w:r>
    </w:p>
    <w:p>
      <w:r>
        <w:rPr>
          <w:color w:val="555555"/>
          <w:sz w:val="17"/>
        </w:rPr>
        <w:t xml:space="preserve">Zitiervorschlag: § 2 SeedCon-AÜVO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https://recht.nulegal.eu/gesetze/SeedCon-A%C3%9CVO/2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