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SeedCap-AÜVO (Nordrhein-Westfalen) — Inkrafttreten, Außerkrafttreten</w:t>
      </w:r>
    </w:p>
    <w:p>
      <w:r>
        <w:rPr>
          <w:color w:val="555555"/>
          <w:sz w:val="18"/>
        </w:rPr>
        <w:t xml:space="preserve">NRW.SeedCap-Aufgabenübertragungsverordnung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2034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SeedCap-AÜVO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https://recht.nulegal.eu/gesetze/SeedCap-A%C3%9CVO/3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