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SeedBridge-AÜVO (Nordrhein-Westfalen) — Inkrafttreten, Außerkrafttreten</w:t>
      </w:r>
    </w:p>
    <w:p>
      <w:r>
        <w:rPr>
          <w:color w:val="555555"/>
          <w:sz w:val="18"/>
        </w:rPr>
        <w:t xml:space="preserve">NRW.SeedBridge-Aufgabenübertragungsverordnung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 und am 31. Dezember 2034 außer Kraft.</w:t>
      </w:r>
    </w:p>
    <w:p>
      <w:r>
        <w:t xml:space="preserve">Die Ministerin für Wirtschaft,</w:t>
      </w:r>
    </w:p>
    <w:p>
      <w:r>
        <w:t xml:space="preserve">Industrie, Klimaschutz und Energie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3 SeedBridge-AÜVO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https://recht.nulegal.eu/gesetze/SeedBridge-A%C3%9CVO/3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