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SeedBridge-AÜVO (Nordrhein-Westfalen) — Ausschließlichkeit</w:t>
      </w:r>
    </w:p>
    <w:p>
      <w:r>
        <w:rPr>
          <w:color w:val="555555"/>
          <w:sz w:val="18"/>
        </w:rPr>
        <w:t xml:space="preserve">NRW.SeedBridge-Aufgabenübertragungsverordnung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Mit der Wahrnehmung der in § 1 aufgeführten Aufgaben und Geschäfte darf die Landesverwaltung Dritte nicht beauftragen. Die NRW.BANK darf sich bei der Erfüllung der Aufgaben und Geschäfte nach § 1 geeigneter Dritter bedienen.</w:t>
      </w:r>
    </w:p>
    <w:p>
      <w:r>
        <w:rPr>
          <w:color w:val="555555"/>
          <w:sz w:val="17"/>
        </w:rPr>
        <w:t xml:space="preserve">Zitiervorschlag: § 2 SeedBridge-AÜVO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https://recht.nulegal.eu/gesetze/SeedBridge-A%C3%9CVO/2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