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SeeZustBV</w:t>
      </w:r>
    </w:p>
    <w:p>
      <w:r>
        <w:rPr>
          <w:color w:val="555555"/>
          <w:sz w:val="18"/>
        </w:rPr>
        <w:t xml:space="preserve">Zuständigkeitsbezeichnungs-Verordnung See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Zuständigkeiten während der Nacheile im Sinne des Artikels 111 des Seerechtsübereinkommens der Vereinten Nationen von 1982 bleiben unberührt.</w:t>
      </w:r>
    </w:p>
    <w:p>
      <w:r>
        <w:rPr>
          <w:color w:val="555555"/>
          <w:sz w:val="17"/>
        </w:rPr>
        <w:t xml:space="preserve">Zitiervorschlag: § 3 SeeZustBV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https://recht.nulegal.eu/gesetze/SeeZustBV/3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