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SeeVertAbk (Bayern)</w:t>
      </w:r>
    </w:p>
    <w:p>
      <w:r>
        <w:rPr>
          <w:color w:val="555555"/>
          <w:sz w:val="18"/>
        </w:rPr>
        <w:t xml:space="preserve">Abkommen über die Zuständigkeit des Amtsgerichts Hamburg für die seerechtlichen Verteilungsverfahren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Die seerechtlichen Verteilungsverfahren werden dem Amtsgericht Hamburg für das Gebiet der Länder Baden-Württemberg, Freistaat Bayern, Berlin, Brandenburg, Freie Hansestadt Bremen, Hessen, Mecklenburg-Vorpommern, Niedersachsen, Nordrhein-Westfalen, Rheinland-Pfalz, Saarland, Freistaat Sachsen, Sachsen-Anhalt, Schleswig-Holstein und Thüringen übertragen.</w:t>
      </w:r>
    </w:p>
    <w:p>
      <w:r>
        <w:rPr>
          <w:color w:val="555555"/>
          <w:sz w:val="17"/>
        </w:rPr>
        <w:t xml:space="preserve">Zitiervorschlag: § 1 SeeVertAbk (Bayern)</w:t>
      </w:r>
    </w:p>
    <w:p>
      <w:r>
        <w:rPr>
          <w:color w:val="555555"/>
          <w:sz w:val="17"/>
        </w:rPr>
        <w:t xml:space="preserve">Quelle: bayernrecht, abgerufen 27.08.2026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https://recht.nulegal.eu/gesetze/SeeVertAbk/1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