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SeeVersNachwV — Übergangsregelung</w:t>
      </w:r>
    </w:p>
    <w:p>
      <w:r>
        <w:rPr>
          <w:color w:val="555555"/>
          <w:sz w:val="18"/>
        </w:rPr>
        <w:t xml:space="preserve">Seeversicherungsnachweisverordnung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5 Absatz 1 ist erst ab dem Tag anzuwenden, an dem das Wrackbeseitigungsübereinkommen für die Bundesrepublik Deutschland in Kraft tritt.</w:t>
      </w:r>
    </w:p>
    <w:p>
      <w:r>
        <w:t xml:space="preserve">(2) § 5 Absatz 2 ist</w:t>
      </w:r>
    </w:p>
    <w:p>
      <w:pPr>
        <w:ind w:left="420"/>
      </w:pPr>
      <w:r>
        <w:t xml:space="preserve">1. in Bezug auf Beförderungen zur See innerhalb der Bundesrepublik Deutschland auf Schiffen der Klasse A gemäß Artikel 4 Absatz 1 der Richtlinie 2009/45/EG des Europäischen Parlaments und des Rates vom 6. Mai 2009 über Sicherheitsvorschriften und -normen für Fahrgastschiffe (Neufassung) (ABl. L 163 vom 25.6.2009, S. 1) ab dem 31. Dezember 2016,</w:t>
      </w:r>
    </w:p>
    <w:p>
      <w:pPr>
        <w:ind w:left="420"/>
      </w:pPr>
      <w:r>
        <w:t xml:space="preserve">2. in Bezug auf Beförderungen zur See innerhalb der Bundesrepublik Deutschland auf Schiffen der Klasse B gemäß Artikel 4 Absatz 1 der Richtlinie 2009/45/EG ab dem 31. Dezember 2018</w:t>
      </w:r>
    </w:p>
    <w:p>
      <w:r>
        <w:t xml:space="preserve">anzuwenden.</w:t>
      </w:r>
    </w:p>
    <w:p>
      <w:r>
        <w:t xml:space="preserve">(3) Das Bundesministerium für Verkehr und digitale Infrastruktur gibt den in Absatz 1 bezeichneten Tag im Bundesgesetzblatt bekannt.</w:t>
      </w:r>
    </w:p>
    <w:p>
      <w:r>
        <w:rPr>
          <w:color w:val="555555"/>
          <w:sz w:val="17"/>
        </w:rPr>
        <w:t xml:space="preserve">Zitiervorschlag: § 6 SeeVersNachwV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https://recht.nulegal.eu/gesetze/SeeVersNachwV/6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