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SeeVersNachwV — Ausstellung</w:t>
      </w:r>
    </w:p>
    <w:p>
      <w:r>
        <w:rPr>
          <w:color w:val="555555"/>
          <w:sz w:val="18"/>
        </w:rPr>
        <w:t xml:space="preserve">Seeversicherungsnachweisverordnung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Wrackbeseitigungshaftungsbescheinigung wird nach dem Muster der Anlage 1 ausgestellt.</w:t>
      </w:r>
    </w:p>
    <w:p>
      <w:r>
        <w:t xml:space="preserve">(2) Die Personenhaftungsbescheinigung wird nach dem Muster der Anlage 2 ausgestellt.</w:t>
      </w:r>
    </w:p>
    <w:p>
      <w:r>
        <w:t xml:space="preserve">(3) Die Geltungsdauer einer Haftungsbescheinigung darf die der Versicherung oder sonstigen Sicherheit nicht überschreiten.</w:t>
      </w:r>
    </w:p>
    <w:p>
      <w:r>
        <w:t xml:space="preserve">(4) Wird eine Haftungsbescheinigung für ein Schiff ausgestellt, das in einem Schiffsregister im Inland eingetragen ist, hinterlegt das Bundesamt für Seeschifffahrt und Hydrographie eine Durchschrift bei dem zuständigen Registergericht.</w:t>
      </w:r>
    </w:p>
    <w:p>
      <w:r>
        <w:t xml:space="preserve">(5) Ist eine Haftungsbescheinigung unbrauchbar geworden oder wird glaubhaft gemacht, dass sie verloren gegangen ist, wird auf schriftlichen oder elektronischen Antrag eine Ersatzausfertigung ausgestellt. Die unbrauchbar gewordene Bescheinigung ist zurückzugeben.</w:t>
      </w:r>
    </w:p>
    <w:p>
      <w:r>
        <w:rPr>
          <w:color w:val="555555"/>
          <w:sz w:val="17"/>
        </w:rPr>
        <w:t xml:space="preserve">Zitiervorschlag: § 4 SeeVersNachwV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https://recht.nulegal.eu/gesetze/SeeVersNachwV/4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