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SeeVersNachwV — Begriffsbestimmung</w:t>
      </w:r>
    </w:p>
    <w:p>
      <w:r>
        <w:rPr>
          <w:color w:val="555555"/>
          <w:sz w:val="18"/>
        </w:rPr>
        <w:t xml:space="preserve">Seeversicherungsnachweisverordnung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Haftungsbescheinigung im Sinne dieser Verordnung ist</w:t>
      </w:r>
    </w:p>
    <w:p>
      <w:pPr>
        <w:ind w:left="420"/>
      </w:pPr>
      <w:r>
        <w:t xml:space="preserve">1. eine Wrackbeseitigungshaftungsbescheinigung nach § 5 Absatz 1 des Seeversicherungsnachweisgesetzes,</w:t>
      </w:r>
    </w:p>
    <w:p>
      <w:pPr>
        <w:ind w:left="420"/>
      </w:pPr>
      <w:r>
        <w:t xml:space="preserve">2. eine Personenhaftungsbescheinigung nach § 6 des Seeversicherungsnachweisgesetzes.</w:t>
      </w:r>
    </w:p>
    <w:p>
      <w:r>
        <w:rPr>
          <w:color w:val="555555"/>
          <w:sz w:val="17"/>
        </w:rPr>
        <w:t xml:space="preserve">Zitiervorschlag: § 1 SeeVersNachwV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