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SeeVersNachwG — Verordnungsermächtigung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Das Bundesministerium für Verkehr und digitale Infrastruktur wird ermächtigt, durch Rechtsverordnung ohne Zustimmung des Bundesrates nähere Bestimmungen zu erlassen über</w:t>
      </w:r>
    </w:p>
    <w:p>
      <w:pPr>
        <w:ind w:left="420"/>
      </w:pPr>
      <w:r>
        <w:t xml:space="preserve">1. die Voraussetzungen und das Verfahren für die Ausstellung, Gültigkeit und Einziehung der Wrackbeseitigungshaftungsbescheinigung nach § 5,</w:t>
      </w:r>
    </w:p>
    <w:p>
      <w:pPr>
        <w:ind w:left="420"/>
      </w:pPr>
      <w:r>
        <w:t xml:space="preserve">2. die Voraussetzungen und das Verfahren für die Ausstellung, Gültigkeit und Einziehung der Personenhaftungsbescheinigung nach Artikel 3 in Verbindung mit Anhang I Artikel 4bis Absatz 2 der Verordnung (EG) Nr. 392/2009.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9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