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SeeVersNachwG — Behördliche Zuständigkeiten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 Absatz 3, § 5 Absatz 1 bis 3, die §§ 6 und 7 und Artikel 3 in Verbindung mit Anhang I Artikel 4bis Absatz 2 der Verordnung (EG) Nr. 392/2009 werden durch den Bund ausgeführt.</w:t>
      </w:r>
    </w:p>
    <w:p>
      <w:r>
        <w:t xml:space="preserve">(2) Die Wahrnehmung der Aufgaben nach § 5 Absatz 1 und 2 und Artikel 3 in Verbindung mit Anhang I Artikel 4bis Absatz 2 der Verordnung (EG) Nr. 392/2009 obliegt dem Bundesamt für Seeschifffahrt und Hydrographie.</w:t>
      </w:r>
    </w:p>
    <w:p>
      <w:r>
        <w:t xml:space="preserve">(3) Die Wahrnehmung der Aufgaben nach § 3 Absatz 3, § 5 Absatz 3 und den §§ 6 und 7 obliegt der Berufsgenossenschaft für Transport und Verkehrswirtschaft. Die §§ 6 und 9e des Seeaufgabengesetzes in der Fassung der Bekanntmachung vom 26. Juli 2002 (BGBl. I S. 2876), in der jeweils geltenden Fassung, sind entsprechend anzuwenden.</w:t>
      </w:r>
    </w:p>
    <w:p>
      <w:r>
        <w:rPr>
          <w:color w:val="555555"/>
          <w:sz w:val="17"/>
        </w:rPr>
        <w:t xml:space="preserve">Zitiervorschlag: § 8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