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SeeVersNachwG — Behördliche Maßnahmen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</w:t>
      </w:r>
    </w:p>
    <w:p>
      <w:pPr>
        <w:ind w:left="420"/>
      </w:pPr>
      <w:r>
        <w:t xml:space="preserve">1. die Versicherungsbescheinigung,</w:t>
      </w:r>
    </w:p>
    <w:p>
      <w:pPr>
        <w:ind w:left="420"/>
      </w:pPr>
      <w:r>
        <w:t xml:space="preserve">2. die Wrackbeseitigungshaftungsbescheinigung oder</w:t>
      </w:r>
    </w:p>
    <w:p>
      <w:pPr>
        <w:ind w:left="420"/>
      </w:pPr>
      <w:r>
        <w:t xml:space="preserve">3. die Personenhaftungsbescheinigung</w:t>
      </w:r>
    </w:p>
    <w:p>
      <w:r>
        <w:t xml:space="preserve">nicht an Bord mitgeführt oder kann sie auf Verlangen nicht vorgelegt werden, so kann das Schiff festgehalten werden, bis die jeweilige Bescheinigung vorgelegt worden ist.</w:t>
      </w:r>
    </w:p>
    <w:p>
      <w:r>
        <w:t xml:space="preserve">(2) Einem Schiff, das von einem anderen Mitgliedstaat der Europäischen Union aus einem seiner Häfen ausgewiesen worden ist, da eine dem Artikel 6 Absatz 1 der Richtlinie 2009/20/EG entsprechende Bescheinigung nicht an Bord mitgeführt wird, ist der Zugang zu den Häfen der Bundesrepublik Deutschland zu verweigern, bis diese vorgelegt worden ist.</w:t>
      </w:r>
    </w:p>
    <w:p>
      <w:r>
        <w:t xml:space="preserve">(3) Die zuständige Behörde kann in den Betriebsräumen des Schiffes Kontrollen durchführen, um die Einhaltung der Pflichten nach den Absätzen 1 und 2, § 3 Absatz 3, § 5 Absatz 3 und § 6 zu überwachen.</w:t>
      </w:r>
    </w:p>
    <w:p>
      <w:r>
        <w:rPr>
          <w:color w:val="555555"/>
          <w:sz w:val="17"/>
        </w:rPr>
        <w:t xml:space="preserve">Zitiervorschlag: § 7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