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SeeVersNachwG — Übergangsregelung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4, 5 und 7 Absatz 1 Nummer 2, § 12, soweit er sich auf die §§ 4 und 5 bezieht, und Rechtsverordnungen auf Grund des § 9 Nummer 1 sind erst ab dem Tag anzuwenden, an dem das Wrackbeseitigungsübereinkommen für die Bundesrepublik Deutschland in Kraft tritt.</w:t>
      </w:r>
    </w:p>
    <w:p>
      <w:r>
        <w:t xml:space="preserve">(2) Das Bundesministerium für Verkehr und digitale Infrastruktur gibt den in Absatz 1 bezeichneten Tag im Bundesgesetzblatt bekannt.</w:t>
      </w:r>
    </w:p>
    <w:p>
      <w:r>
        <w:rPr>
          <w:color w:val="555555"/>
          <w:sz w:val="17"/>
        </w:rPr>
        <w:t xml:space="preserve">Zitiervorschlag: § 14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