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SeeVersNachwG — Anwendung der Verordnung (EG) Nr. 392/2009 des Europäischen Parlaments und des Rates vom 23. April 2009 über die Unfallhaftung von Beförderern von Reisenden auf See</w:t>
      </w:r>
    </w:p>
    <w:p>
      <w:r>
        <w:rPr>
          <w:color w:val="555555"/>
          <w:sz w:val="18"/>
        </w:rPr>
        <w:t xml:space="preserve">Seeversicherungsnachweisgesetz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(EG) Nr. 392/2009 und § 6 sind</w:t>
      </w:r>
    </w:p>
    <w:p>
      <w:pPr>
        <w:ind w:left="420"/>
      </w:pPr>
      <w:r>
        <w:t xml:space="preserve">1. in Bezug auf Beförderungen zur See innerhalb der Bundesrepublik Deutschland auf Schiffen der Klasse A im Sinne des Artikels 4 Absatz 1 der Richtlinie 2009/45/EG des Europäischen Parlaments und des Rates vom 6. Mai 2009 über Sicherheitsvorschriften und -normen für Fahrgastschiffe (ABl. L 163 vom 25.6.2009, S. 1) ab dem 31. Dezember 2016,</w:t>
      </w:r>
    </w:p>
    <w:p>
      <w:pPr>
        <w:ind w:left="420"/>
      </w:pPr>
      <w:r>
        <w:t xml:space="preserve">2. in Bezug auf Beförderungen zur See innerhalb der Bundesrepublik Deutschland auf Schiffen der Klasse B im Sinne des Artikels 4 Absatz 1 der Richtlinie 2009/45/EG ab dem 31. Dezember 2018</w:t>
      </w:r>
    </w:p>
    <w:p>
      <w:r>
        <w:t xml:space="preserve">anzuwenden.</w:t>
      </w:r>
    </w:p>
    <w:p>
      <w:r>
        <w:rPr>
          <w:color w:val="555555"/>
          <w:sz w:val="17"/>
        </w:rPr>
        <w:t xml:space="preserve">Zitiervorschlag: § 13 SeeVersNachwG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https://recht.nulegal.eu/gesetze/SeeVersNachwG/13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