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SeeVersNachwG — Strafvorschriften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 entgegen Artikel 3 Absatz 1 in Verbindung mit Anhang I Artikel 4bis Absatz 1 der Verordnung (EG) Nr. 392/2009 des Europäischen Parlaments und des Rates vom 23. April 2009 über die Unfallhaftung von Beförderern von Reisenden auf See (ABl. L 131 vom 28.5.2009, S. 24) eine Versicherung oder sonstige finanzielle Sicherheit nicht aufrechterhält.</w:t>
      </w:r>
    </w:p>
    <w:p>
      <w:r>
        <w:t xml:space="preserve">(2) Handelt der Täter in den Fällen des Absatzes 1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11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