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SeeVerkSiV</w:t>
      </w:r>
    </w:p>
    <w:p>
      <w:r>
        <w:rPr>
          <w:color w:val="555555"/>
          <w:sz w:val="18"/>
        </w:rPr>
        <w:t xml:space="preserve">Verordnung zur Sicherstellung des Seeverkehrs</w:t>
      </w:r>
    </w:p>
    <w:p>
      <w:r>
        <w:rPr>
          <w:color w:val="555555"/>
          <w:sz w:val="18"/>
        </w:rPr>
        <w:t xml:space="preserve">Stand: 10.06.2019 (konsolidierte Textfassung, kein amtliches Inkrafttretensdatum)</w:t>
      </w:r>
    </w:p>
    <w:p>
      <w:r>
        <w:t xml:space="preserve">Die Führer von Seeschiffen sind verpflichtet, sich bei der Führung ihres Seeschiffs auf See und in den Häfen so zu verhalten, daß ihr Seeschiff, die darauf befindlichen Personen und die beförderten Güter unter Berücksichtigung der besonderen Gefahren eines Verteidigungsfalls nicht mehr als nach den Umständen unvermeidlich gefährdet werden. Zur Erfüllung dieser Verpflichtung haben sie den der Verhinderung oder Verringerung von Gefahren dienenden Forderungen zu entsprechend, die von den für die Sicherheit der Seeschiffahrt zuständigen Stellen an sie gestellt werden. Dies gilt auch für die Forderung, bestimmte Seegebiete zu meiden oder bestimmte Seewege zu benutzen sowie Fernmelde- und Ortungsmittel in bestimmter Weise zu benutzen.</w:t>
      </w:r>
    </w:p>
    <w:p>
      <w:r>
        <w:rPr>
          <w:color w:val="555555"/>
          <w:sz w:val="17"/>
        </w:rPr>
        <w:t xml:space="preserve">Zitiervorschlag: § 4 SeeVerkSiV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https://recht.nulegal.eu/gesetze/SeeVerkSiV/4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