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SeeVerkSiV</w:t>
      </w:r>
    </w:p>
    <w:p>
      <w:r>
        <w:rPr>
          <w:color w:val="555555"/>
          <w:sz w:val="18"/>
        </w:rPr>
        <w:t xml:space="preserve">Verordnung zur Sicherstellung des Seeverkehrs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Seeverkehrsbehörden können die Reeder und Ausrüster von Seeschiffen verpflichten, ihre Seeschiffe zur Sicherung bei der Ausführung von Seereisen entmagnetisieren zu lassen (Fremdentmagnetisierung).</w:t>
      </w:r>
    </w:p>
    <w:p>
      <w:r>
        <w:rPr>
          <w:color w:val="555555"/>
          <w:sz w:val="17"/>
        </w:rPr>
        <w:t xml:space="preserve">Zitiervorschlag: § 3 SeeVerkSiV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https://recht.nulegal.eu/gesetze/SeeVerkSiV/3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