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SeeVerkSiV</w:t>
      </w:r>
    </w:p>
    <w:p>
      <w:r>
        <w:rPr>
          <w:color w:val="555555"/>
          <w:sz w:val="18"/>
        </w:rPr>
        <w:t xml:space="preserve">Verordnung zur Sicherstellung des Seeverkehrs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Sie darf gemäß § 2 Abs. 3 des Verkehrssicherstellungsgesetzes nur nach Maßgabe des Artikels 80a des Grundgesetzes und erst dann angewandt werden, wenn dies das Bundesministerium für Verkehr und digitale Infrastruktur durch Rechtsverordnung bestimmt.</w:t>
      </w:r>
    </w:p>
    <w:p>
      <w:r>
        <w:rPr>
          <w:color w:val="555555"/>
          <w:sz w:val="17"/>
        </w:rPr>
        <w:t xml:space="preserve">Zitiervorschlag: § 15 SeeVerkSiV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https://recht.nulegal.eu/gesetze/SeeVerkSiV/15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