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SeeUmwVerhV — Einleiten von Schiffsabwasser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Einleiten von Schiffsabwasser ins Meer nach Maßgabe der Anlage IV Regel 11 Absatz 1 Satzteil vor Absatz 1.1 und Absatz 3 Satzteil vor Satz 2 des MARPOL-Übereinkommens ist verboten</w:t>
      </w:r>
    </w:p>
    <w:p>
      <w:pPr>
        <w:ind w:left="420"/>
      </w:pPr>
      <w:r>
        <w:t xml:space="preserve">1. außerhalb der in § 3 Absatz 1 Nummer 1 bezeichneten Wasserflächen für Schiffe bei der Fahrt von einem deutschen Hafen zu einem deutschen Hafen</w:t>
      </w:r>
    </w:p>
    <w:p>
      <w:pPr>
        <w:ind w:left="780"/>
      </w:pPr>
      <w:r>
        <w:t xml:space="preserve">a) für Schiffe auf Seewasserstraßen,</w:t>
      </w:r>
    </w:p>
    <w:p>
      <w:pPr>
        <w:ind w:left="780"/>
      </w:pPr>
      <w:r>
        <w:t xml:space="preserve">b) für Schiffe, die die Bundesflagge führen, auch seewärts der Begrenzung der Seewasserstraßen,</w:t>
      </w:r>
    </w:p>
    <w:p>
      <w:pPr>
        <w:ind w:left="420"/>
      </w:pPr>
      <w:r>
        <w:t xml:space="preserve">2. in der Ostsee</w:t>
      </w:r>
    </w:p>
    <w:p>
      <w:pPr>
        <w:ind w:left="780"/>
      </w:pPr>
      <w:r>
        <w:t xml:space="preserve">a) für die in Anlage IV Regel 2 Absatz 1 des MARPOL-Übereinkommens nicht genannten Schiffe einschließlich Sportboote, sofern diese Schiffe über eine mit einer Abwasserrückhalteanlage ausgerüsteten Toilette verfügen, auf Seewasserstraßen,</w:t>
      </w:r>
    </w:p>
    <w:p>
      <w:pPr>
        <w:ind w:left="780"/>
      </w:pPr>
      <w:r>
        <w:t xml:space="preserve">b) für die in Buchstabe a bezeichneten Schiffe, die die Bundesflagge führen, auch seewärts der Begrenzung der Seewasserstraßen.</w:t>
      </w:r>
    </w:p>
    <w:p>
      <w:r>
        <w:t xml:space="preserve">(2) Der Schiffsführer oder der sonst für den Schiffsbetrieb Verantwortliche darf mit einem Schiff einschließlich eines Sportbootes, das über eine Toilette verfügt und entgegen § 6b Absatz 1 der Schiffssicherheitsverordnung nicht mit einer Abwasserrückhalteanlage ausgerüstet ist, Seewasserstraßen in der Ostsee nicht befahren. Wird dort ein Schiff ohne die erforderliche Ausrüstung angetroffen, kann die Berufsgenossenschaft Verkehrswirtschaft Post-Logistik Telekommunikation unbeschadet des Satzes 1</w:t>
      </w:r>
    </w:p>
    <w:p>
      <w:pPr>
        <w:ind w:left="420"/>
      </w:pPr>
      <w:r>
        <w:t xml:space="preserve">1. das Anlaufen des nächsten Hafens anordnen oder</w:t>
      </w:r>
    </w:p>
    <w:p>
      <w:pPr>
        <w:ind w:left="420"/>
      </w:pPr>
      <w:r>
        <w:t xml:space="preserve">2. die Weiterfahrt zum Verlassen der Seewasserstraßen oder zu einer Einrichtung zur Durchführung der Nachrüstung erlauben.</w:t>
      </w:r>
    </w:p>
    <w:p>
      <w:r>
        <w:t xml:space="preserve">Das Bundesamt für Seeschifffahrt und Hydrographie kann zur Erleichterung der Durchführung wassersportlicher Veranstaltungen auf Antrag des Veranstalters teilnehmende Fahrzeuge vom Verbot nach Satz 1 befreien und diese Entscheidung mit Bedingungen und – auch nachträglich – mit Auflagen verbinden.</w:t>
      </w:r>
    </w:p>
    <w:p>
      <w:r>
        <w:rPr>
          <w:color w:val="555555"/>
          <w:sz w:val="17"/>
        </w:rPr>
        <w:t xml:space="preserve">Zitiervorschlag: § 9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