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SeeUmwVerhV — Öl, ölhaltige Gemische, Ölrückstände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Unbeschadet der Bestimmungen des Abfall-Übereinkommens ist das Einleiten umweltschädlicher ölhaltiger Gemische auf den in § 3 Absatz 1 Nummer 1 bezeichneten Wasserflächen verboten.</w:t>
      </w:r>
    </w:p>
    <w:p>
      <w:r>
        <w:t xml:space="preserve">(2) Das Schiff ist bei der Einleitung von Öl oder ölhaltigen Gemischen ins Meer nicht in Fahrt im Sinne von Anlage I Regel 15 Absatz 2, 3 oder 6 oder Regel 34 Absatz 1 des MARPOL-Übereinkommens, wenn es die Reise nur zur Einleitung dieser Stoffe durchführt.</w:t>
      </w:r>
    </w:p>
    <w:p>
      <w:r>
        <w:t xml:space="preserve">(3) Der Schiffsführer oder der sonst für den Schiffsbetrieb Verantwortliche darf nicht zulassen, dass an Rohrleitungen von und zu Tanks für Ölrückstände weitere Verbindungen nach außenbords als genormte Abflussanschlüsse nach Anlage I Regel 13 des MARPOL-Übereinkommens angebracht werden. Als unmittelbare Verbindung nach außenbords gilt auch, wenn eine Umgehung der in der Anlage I Regel 14 Absatz 1 und 2 des MARPOL-Übereinkommens vorgeschriebenen Ölfilteranlage vorhanden ist.</w:t>
      </w:r>
    </w:p>
    <w:p>
      <w:r>
        <w:rPr>
          <w:color w:val="555555"/>
          <w:sz w:val="17"/>
        </w:rPr>
        <w:t xml:space="preserve">Zitiervorschlag: § 6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