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SeeUmwVerhV — Umpumpvorgänge auf See</w:t>
      </w:r>
    </w:p>
    <w:p>
      <w:r>
        <w:rPr>
          <w:color w:val="555555"/>
          <w:sz w:val="18"/>
        </w:rPr>
        <w:t xml:space="preserve">See-Umweltverhaltensverordnung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Schiffsführer hat dafür zu sorgen, dass dem örtlich zuständigen Wasserstraßen- und Schifffahrtsamt über dessen Verkehrszentrale über UKW-Sprechfunk oder telefonisch die nach Anlage I Regel 42 Absatz 2 des MARPOL-Übereinkommens vorgeschriebenen Angaben über Umpumpvorgänge rechtzeitig mitgeteilt werden.</w:t>
      </w:r>
    </w:p>
    <w:p>
      <w:r>
        <w:t xml:space="preserve">(2) Die Durchführung eines Umpumpvorganges auf Seewasserstraßen oder den in § 3 Absatz 1 Nummer 1 bezeichneten Wasserflächen ohne Erlaubnis des örtlich zuständigen Wasserstraßen- und Schifffahrtsamtes ist verboten. Die Erlaubnis ist rechtzeitig schriftlich zu beantragen und kann mit Auflagen verbunden oder unter Bedingungen erteilt werden.</w:t>
      </w:r>
    </w:p>
    <w:p>
      <w:r>
        <w:rPr>
          <w:color w:val="555555"/>
          <w:sz w:val="17"/>
        </w:rPr>
        <w:t xml:space="preserve">Zitiervorschlag: § 5 SeeUmwVerhV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https://recht.nulegal.eu/gesetze/SeeUmwVerhV/5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