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SeeUmwVerhV — Übergangsvorschrift zur Anwendung der Verordnung (EU) Nr. 1257/2013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Verordnung (EU) Nr. 1257/2013, die sich auf die Zulassung des Recyclings von Schiffen in den in der europäischen Liste aufgeführten Abwrackeinrichtungen beziehen, sind in Verbindung mit den Vorschriften des Abschnitts 4a anzuwenden.</w:t>
      </w:r>
    </w:p>
    <w:p>
      <w:r>
        <w:t xml:space="preserve">(2) Absatz 1 ist ab dem Tag, der sich gemäß Artikel 32 Absatz 1 in Verbindung mit Absatz 3 der Verordnung (EU) Nr. 1257/2013 ergibt, nicht mehr anzuwenden. Das Bundesministerium für Verkehr und digitale Infrastruktur gibt den Tag nach Satz 1 im Bundesgesetzblatt bekannt.</w:t>
      </w:r>
    </w:p>
    <w:p>
      <w:r>
        <w:rPr>
          <w:color w:val="555555"/>
          <w:sz w:val="17"/>
        </w:rPr>
        <w:t xml:space="preserve">Zitiervorschlag: § 30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