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SeeUmwVerhV — Aufgaben der Berufsgenossenschaft Verkehrswirtschaft Post-Logistik Telekommunikation</w:t>
      </w:r>
    </w:p>
    <w:p>
      <w:r>
        <w:rPr>
          <w:color w:val="555555"/>
          <w:sz w:val="18"/>
        </w:rPr>
        <w:t xml:space="preserve">See-Umweltverhaltensverordnung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deutsche Flaggenstaatsverwaltung ist die Berufsgenossenschaft Verkehrswirtschaft Post-Logistik Telekommunikation die zuständige Verwaltung,</w:t>
      </w:r>
    </w:p>
    <w:p>
      <w:pPr>
        <w:ind w:left="420"/>
      </w:pPr>
      <w:r>
        <w:t xml:space="preserve">1. an die der Schiffseigner die Mitteilung nach Artikel 6 Absatz 1 Buchstabe b der Verordnung (EU) Nr. 1257/2013 zu richten hat,</w:t>
      </w:r>
    </w:p>
    <w:p>
      <w:pPr>
        <w:ind w:left="420"/>
      </w:pPr>
      <w:r>
        <w:t xml:space="preserve">2. der der Betreiber der Abwrackeinrichtung den Schiffsrecyclingplan nach Artikel 13 Absatz 2 Buchstabe a der Verordnung (EU) Nr. 1257/2013 zu übermitteln hat und</w:t>
      </w:r>
    </w:p>
    <w:p>
      <w:pPr>
        <w:ind w:left="420"/>
      </w:pPr>
      <w:r>
        <w:t xml:space="preserve">3. an die der Betreiber der Abwrackeinrichtung die Meldung nach Artikel 13 Absatz 2 Buchstabe b der Verordnung (EU) Nr. 1257/2013 zu richten hat.</w:t>
      </w:r>
    </w:p>
    <w:p>
      <w:r>
        <w:t xml:space="preserve">(2) Die Berufsgenossenschaft Verkehrswirtschaft Post-Logistik Telekommunikation übermittelt dem Bundesamt für Seeschifffahrt und Hydrographie jährlich ein Verzeichnis, das Folgendes enthält:</w:t>
      </w:r>
    </w:p>
    <w:p>
      <w:pPr>
        <w:ind w:left="420"/>
      </w:pPr>
      <w:r>
        <w:t xml:space="preserve">1. eine Liste der anerkannten Organisationen, die dazu ermächtigt sind, Besichtigungen und Überprüfungen nach § 23 Absatz 1 durchzuführen, einschließlich der genauen Verantwortlichkeiten und Bedingungen, die mit der übertragenen Befugnis verbunden sind,</w:t>
      </w:r>
    </w:p>
    <w:p>
      <w:pPr>
        <w:ind w:left="420"/>
      </w:pPr>
      <w:r>
        <w:t xml:space="preserve">2. eine Liste der Schiffe, für die eine Recyclingfähigkeitsbescheinigung ausgestellt worden ist, einschließlich des Namens des Recyclingunternehmens und des Standorts der Abwrackeinrichtung entsprechend der Eintragung im Zeugnis, und</w:t>
      </w:r>
    </w:p>
    <w:p>
      <w:pPr>
        <w:ind w:left="420"/>
      </w:pPr>
      <w:r>
        <w:t xml:space="preserve">3. Informationen über Verstöße gegen die Vorschriften der Verordnung (EU) Nr. 1257/2013 und des Übereinkommens von Hongkong und Informationen über die entsprechend ergriffenen Maßnahmen.</w:t>
      </w:r>
    </w:p>
    <w:p>
      <w:r>
        <w:t xml:space="preserve">Die Übermittlung des Verzeichnisses erfolgt jeweils zum 31. März des Jahres für das Vorjahr.</w:t>
      </w:r>
    </w:p>
    <w:p>
      <w:r>
        <w:t xml:space="preserve">(3) Die Berufsgenossenschaft Verkehrswirtschaft Post-Logistik Telekommunikation übermittelt dem Bundesamt für Seeschifffahrt und Hydrographie alle drei Jahre, jeweils bis zum 31. März des nach dem Berichtzeitraums liegenden Jahres, die Informationen, die nach Artikel 21 Absatz 1 Buchstabe a und b der Verordnung (EU) Nr. 1257/2013 erforderlich sind.</w:t>
      </w:r>
    </w:p>
    <w:p>
      <w:r>
        <w:rPr>
          <w:color w:val="555555"/>
          <w:sz w:val="17"/>
        </w:rPr>
        <w:t xml:space="preserve">Zitiervorschlag: § 27 SeeUmwVerhV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https://recht.nulegal.eu/gesetze/SeeUmwVerhV/27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