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SeeUmwVerhV — Aufgaben des Bundesamts für Seeschifffahrt und Hydrographie</w:t>
      </w:r>
    </w:p>
    <w:p>
      <w:r>
        <w:rPr>
          <w:color w:val="555555"/>
          <w:sz w:val="18"/>
        </w:rPr>
        <w:t xml:space="preserve">See-Umweltverhaltensverordnung</w:t>
      </w:r>
    </w:p>
    <w:p>
      <w:r>
        <w:rPr>
          <w:color w:val="555555"/>
          <w:sz w:val="18"/>
        </w:rPr>
        <w:t xml:space="preserve">Stand: 10.06.2019 (konsolidierte Textfassung, kein amtliches Inkrafttretensdatum)</w:t>
      </w:r>
    </w:p>
    <w:p>
      <w:r>
        <w:t xml:space="preserve">(1) Das Bundesamt für Seeschifffahrt und Hydrographie ist Kontaktstelle für sämtliche Anfragen im Zusammenhang mit in diesem Abschnitt geregelten Angelegenheiten. Sie benennt mindestens eine Kontaktperson, die dafür zuständig ist, natürliche oder juristische Personen, die um Auskunft ersuchen, zu informieren und zu beraten.</w:t>
      </w:r>
    </w:p>
    <w:p>
      <w:r>
        <w:t xml:space="preserve">(2) Das Bundesamt für Seeschifffahrt und Hydrographie ist außerdem zuständig für die bilaterale und multilaterale Zusammenarbeit nach Maßgabe des Artikels 22 Absatz 2 der Verordnung (EU) Nr. 1257/2013 und für den Austausch von Informationen nach Maßgabe des Artikels 7 des Übereinkommens von Hongkong.</w:t>
      </w:r>
    </w:p>
    <w:p>
      <w:r>
        <w:t xml:space="preserve">(3) Das Bundesamt für Seeschifffahrt und Hydrographie teilt jeden Wechsel der Kontaktpersonen und jede Änderung der Kontaktinformationen unverzüglich dem Bundesministerium für Verkehr und digitale Infrastruktur mit. Das Bundesministerium für Verkehr und digitale Infrastruktur informiert die Europäische Kommission und die Internationale Seeschifffahrts-Organisation unverzüglich über einen Wechsel der Kontaktpersonen und Änderungen der Kontaktinformationen.</w:t>
      </w:r>
    </w:p>
    <w:p>
      <w:r>
        <w:t xml:space="preserve">(4) Das Bundesamt für Seeschifffahrt und Hydrographie erstellt die Berichte nach Maßgabe des Artikels 21 Absatz 1 der Verordnung (EU) Nr. 1257/2013 und des Artikels 12 des Übereinkommens von Hongkong für das Bundesministerium für Verkehr und digitale Infrastruktur. Das Bundesministerium für Verkehr und digitale Infrastruktur leitet die jeweiligen Berichte an die Europäische Kommission und die Internationale Seeschifffahrts-Organisation weiter.</w:t>
      </w:r>
    </w:p>
    <w:p>
      <w:r>
        <w:rPr>
          <w:color w:val="555555"/>
          <w:sz w:val="17"/>
        </w:rPr>
        <w:t xml:space="preserve">Zitiervorschlag: § 26 SeeUmwVerhV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https://recht.nulegal.eu/gesetze/SeeUmwVerhV/26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