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SeeUmwVerhV — Inventarbescheinigung und Recyclingfähigkeitsbescheinigung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Inventarbescheinigungen und Recyclingfähigkeitsbescheinigungen werden von der Berufsgenossenschaft Verkehrswirtschaft Post-Logistik Telekommunikation ausgestellt. In den Fällen des Artikels 9 Absatz 2 bis 4 der Verordnung (EU) Nr. 1257/2013 bestätigt die Berufsgenossenschaft Verkehrswirtschaft Post-Logistik Telekommunikation oder eine von ihr ermächtigte anerkannte Organisation bestehende Inventarbescheinigungen und Recyclingfähigkeitsbescheinigungen mit einem entsprechenden Sichtvermerk. Die Inventarbescheinigung wird für einen Zeitraum von fünf Jahren ausgestellt.</w:t>
      </w:r>
    </w:p>
    <w:p>
      <w:r>
        <w:t xml:space="preserve">(2) Die Berufsgenossenschaft Verkehrswirtschaft Post-Logistik Telekommunikation kann die Geltungsdauer der Inventarbescheinigungen und Recyclingfähigkeitsbescheinigungen nach Maßgabe des Artikels 9 Absatz 7 und 8 sowie des Artikels 10 Absatz 5 der Verordnung (EU) Nr. 1257/2013 verlängern.</w:t>
      </w:r>
    </w:p>
    <w:p>
      <w:r>
        <w:rPr>
          <w:color w:val="555555"/>
          <w:sz w:val="17"/>
        </w:rPr>
        <w:t xml:space="preserve">Zitiervorschlag: § 24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