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22 SeeUmwVerhV — Ballastwasser-Austauschgebiete</w:t>
      </w:r>
    </w:p>
    <w:p>
      <w:r>
        <w:rPr>
          <w:color w:val="555555"/>
          <w:sz w:val="18"/>
        </w:rPr>
        <w:t xml:space="preserve">See-Umweltverhaltensverordnung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Das Bundesamt für Seeschifffahrt und Hydrographie kann Ballastwasser-Austauschgebiete im Sinne der Anlage Regel B-4 des Ballastwasser-Übereinkommens nach Maßgabe der Richtlinien für die Festlegung von Gebieten für den Ballastwasser-Austausch (VkBl. 2011 S. 236) bestimmen. Dabei hört es vor der Konsultation angrenzender Staaten die betroffenen Küstenländer, das Umweltbundesamt und das Bundesinstitut für Risikobewertung an.</w:t>
      </w:r>
    </w:p>
    <w:p>
      <w:r>
        <w:rPr>
          <w:color w:val="555555"/>
          <w:sz w:val="17"/>
        </w:rPr>
        <w:t xml:space="preserve">Zitiervorschlag: § 22 SeeUmwVerhV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https://recht.nulegal.eu/gesetze/SeeUmwVerhV/22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