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SeeUmwVerhV — Mitführen von Dokumenten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Schiffsführer eines Schiffes, das die Flagge eines Staates führt, der Vertragspartei des Ballastwasser-Übereinkommens ist, ist verpflichtet, folgende Dokumente mitzuführen und auf Verlangen der Bediensteten der zuständigen Behörden zur Prüfung auszuhändigen:</w:t>
      </w:r>
    </w:p>
    <w:p>
      <w:pPr>
        <w:ind w:left="420"/>
      </w:pPr>
      <w:r>
        <w:t xml:space="preserve">1. den Ballastwasser-Behandlungsplan nach der Anlage Regel B-1 des Ballastwasser-Übereinkommens,</w:t>
      </w:r>
    </w:p>
    <w:p>
      <w:pPr>
        <w:ind w:left="420"/>
      </w:pPr>
      <w:r>
        <w:t xml:space="preserve">2. das Ballastwasser-Tagebuch nach der Anlage Regel B-2 des Ballastwasser-Übereinkommens.</w:t>
      </w:r>
    </w:p>
    <w:p>
      <w:r>
        <w:rPr>
          <w:color w:val="555555"/>
          <w:sz w:val="17"/>
        </w:rPr>
        <w:t xml:space="preserve">Zitiervorschlag: § 20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