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SeeUmwVerhV — Begriffsbestimmungen</w:t>
      </w:r>
    </w:p>
    <w:p>
      <w:r>
        <w:rPr>
          <w:color w:val="555555"/>
          <w:sz w:val="18"/>
        </w:rPr>
        <w:t xml:space="preserve">See-Umweltverhaltensverordnung</w:t>
      </w:r>
    </w:p>
    <w:p>
      <w:r>
        <w:rPr>
          <w:color w:val="555555"/>
          <w:sz w:val="18"/>
        </w:rPr>
        <w:t xml:space="preserve">Stand: 10.06.2019 (konsolidierte Textfassung, kein amtliches Inkrafttretensdatum)</w:t>
      </w:r>
    </w:p>
    <w:p>
      <w:r>
        <w:t xml:space="preserve">(1) Im Sinne dieser Verordnung bedeuten</w:t>
      </w:r>
    </w:p>
    <w:p>
      <w:pPr>
        <w:ind w:left="420"/>
      </w:pPr>
      <w:r>
        <w:t xml:space="preserve">1. MARPOL-Übereinkommen: das Internationale Übereinkommen von 1973 zur Verhütung der Meeresverschmutzung durch Schiffe und das Protokoll von 1978 zu diesem Übereinkommen (BGBl. 1996 II S. 399, Anlageband), zuletzt geändert durch die in London vom Ausschuss für den Schutz der Meeresumwelt der Internationalen Seeschifffahrts-Organisation (IMO) angenommenen Entschließungen MEPC.193(61) (BGBl. 2013 II S. 1098, 1099), in seiner jeweils innerstaatlich geltenden Fassung,</w:t>
      </w:r>
    </w:p>
    <w:p>
      <w:pPr>
        <w:ind w:left="420"/>
      </w:pPr>
      <w:r>
        <w:t xml:space="preserve">2. AFS-Übereinkommen: das Internationale Übereinkommen von 2001 über die Beschränkung des Einsatzes schädlicher Bewuchsschutzsysteme auf Schiffen (BGBl. 2008 II S. 520, 522) in seiner jeweils innerstaatlich geltenden Fassung,</w:t>
      </w:r>
    </w:p>
    <w:p>
      <w:pPr>
        <w:ind w:left="420"/>
      </w:pPr>
      <w:r>
        <w:t xml:space="preserve">3. Ballastwasser-Übereinkommen: das Internationale Übereinkommen von 2004 zur Kontrolle und Behandlung von Ballastwasser und Sedimenten von Schiffen (BGBl. 2013 II S. 42, 44; 2017 II S. 1239) in seiner jeweils innerstaatlich geltenden Fassung,</w:t>
      </w:r>
    </w:p>
    <w:p>
      <w:pPr>
        <w:ind w:left="420"/>
      </w:pPr>
      <w:r>
        <w:t xml:space="preserve">3a. Übereinkommen von Hongkong: das Internationale Übereinkommen von Hongkong von 2009 über das sichere und umweltgerechte Recycling von Schiffen in seiner jeweils innerstaatlich geltenden Fassung,</w:t>
      </w:r>
    </w:p>
    <w:p>
      <w:pPr>
        <w:ind w:left="420"/>
      </w:pPr>
      <w:r>
        <w:t xml:space="preserve">4. ein Schiff:</w:t>
      </w:r>
    </w:p>
    <w:p>
      <w:pPr>
        <w:ind w:left="780"/>
      </w:pPr>
      <w:r>
        <w:t xml:space="preserve">a) im Sinne des Abschnitts 2 ein Schiff nach Artikel 2 Nummer 4 des MARPOL-Übereinkommens,</w:t>
      </w:r>
    </w:p>
    <w:p>
      <w:pPr>
        <w:ind w:left="780"/>
      </w:pPr>
      <w:r>
        <w:t xml:space="preserve">b) im Sinne des Abschnitts 3 ein Schiff nach Artikel 2 Nummer 9 des AFS-Übereinkommens,</w:t>
      </w:r>
    </w:p>
    <w:p>
      <w:pPr>
        <w:ind w:left="780"/>
      </w:pPr>
      <w:r>
        <w:t xml:space="preserve">c) im Sinne des Abschnitts 4 ein Schiff nach Artikel 1 Nummer 12 des Ballastwasser-Übereinkommens,</w:t>
      </w:r>
    </w:p>
    <w:p>
      <w:pPr>
        <w:ind w:left="780"/>
      </w:pPr>
      <w:r>
        <w:t xml:space="preserve">d) im Sinne des Abschnitts 4a ein Schiff nach Artikel 3 Absatz 1 Nummer 1 der Verordnung (EU) Nr. 1257/2013 des Europäischen Parlaments und des Rates vom 20. November 2013 über das Recycling von Schiffen und zur Änderung der Verordnung (EG) Nr. 1013/2006 und der Richtlinie 2009/16/EG (ABl. L 330 vom 10.12.2013, S. 1) in der jeweils geltenden Fassung,</w:t>
      </w:r>
    </w:p>
    <w:p>
      <w:pPr>
        <w:ind w:left="780"/>
      </w:pPr>
      <w:r>
        <w:t xml:space="preserve">e) im Sinne des § 3 ein Schiff nach den Buchstaben a bis d,</w:t>
      </w:r>
    </w:p>
    <w:p>
      <w:pPr>
        <w:ind w:left="420"/>
      </w:pPr>
      <w:r>
        <w:t xml:space="preserve">5. Abfall-Übereinkommen: das Übereinkommen vom 9. September 1996 über die Sammlung, Abgabe und Annahme von Abfällen in der Rhein- und Binnenschifffahrt (BGBl. 2003 II S. 1799, 1800) in seiner jeweils innerstaatlich geltenden Fassung,</w:t>
      </w:r>
    </w:p>
    <w:p>
      <w:pPr>
        <w:ind w:left="420"/>
      </w:pPr>
      <w:r>
        <w:t xml:space="preserve">6. Schwefelrichtlinie: die Richtlinie 1999/32/EG des Rates vom 26. April 1999 über eine Verringerung des Schwefelgehalts bestimmter flüssiger Kraft- oder Brennstoffe und zur Änderung der Richtlinie 93/12/EWG (ABl. L 121 vom 11.5.1999, S. 13), die zuletzt durch die Richtlinie 2012/33/EU (ABl. L 327 vom 27.11.2012, S. 1) geändert worden ist,</w:t>
      </w:r>
    </w:p>
    <w:p>
      <w:pPr>
        <w:ind w:left="420"/>
      </w:pPr>
      <w:r>
        <w:t xml:space="preserve">7. TBT-Verordnung: die Verordnung (EG) Nr. 782/2003 des Europäischen Parlaments und des Rates vom 14. April 2003 über das Verbot zinnorganischer Verbindungen auf Schiffen (ABl. L 115 vom 9.5.2003, S. 1), die zuletzt durch die Verordnung (EG) Nr. 219/2009 (ABl. L 87 vom 31.3.2009, S. 109) geändert worden ist,</w:t>
      </w:r>
    </w:p>
    <w:p>
      <w:pPr>
        <w:ind w:left="420"/>
      </w:pPr>
      <w:r>
        <w:t xml:space="preserve">8. IAFS-Zeugnis: Internationales Zeugnis über ein Bewuchsschutzsystem nach Artikel 6 der TBT-Verordnung oder nach Anlage 4 Regel 2 des AFS-Übereinkommens,</w:t>
      </w:r>
    </w:p>
    <w:p>
      <w:pPr>
        <w:ind w:left="420"/>
      </w:pPr>
      <w:r>
        <w:t xml:space="preserve">9. IAFS-Erklärung: Erklärung über ein Bewuchsschutzsystem nach Artikel 6 der TBT-Verordnung oder nach Anlage 4 Regel 5 des AFS-Übereinkommens,</w:t>
      </w:r>
    </w:p>
    <w:p>
      <w:pPr>
        <w:ind w:left="420"/>
      </w:pPr>
      <w:r>
        <w:t xml:space="preserve">10. Binnenschiffsuntersuchungsordnung: die Binnenschiffsuntersuchungsordnung vom 6. Dezember 2008 (BGBl. I S. 2450), die zuletzt durch Artikel 2 der Verordnung vom 16. Juni 2014 (BGBl. I S. 748) geändert worden ist, in der jeweils geltenden Fassung,</w:t>
      </w:r>
    </w:p>
    <w:p>
      <w:pPr>
        <w:ind w:left="420"/>
      </w:pPr>
      <w:r>
        <w:t xml:space="preserve">11. Wasserstraßen der Zonen 1 und 2: die in Anhang I der Binnenschiffsuntersuchungsordnung genannten Wasserstraßen,</w:t>
      </w:r>
    </w:p>
    <w:p>
      <w:pPr>
        <w:ind w:left="420"/>
      </w:pPr>
      <w:r>
        <w:t xml:space="preserve">12. Schiffssicherheitsverordnung: die Schiffssicherheitsverordnung vom 18. September 1998 (BGBl. I S. 3013, 3023), die zuletzt durch Artikel 2 der Verordnung vom 23. Januar 2014 (BGBl. I S. 78) geändert worden ist, in der jeweils geltenden Fassung,</w:t>
      </w:r>
    </w:p>
    <w:p>
      <w:pPr>
        <w:ind w:left="420"/>
      </w:pPr>
      <w:r>
        <w:t xml:space="preserve">13. Schiffskraftstoff: ölhaltiger Brennstoff nach Anlage VI Regel 18 des MARPOL-Übereinkommens und Artikel 2 Nummer 3 der Schwefelrichtlinie.</w:t>
      </w:r>
    </w:p>
    <w:p>
      <w:r>
        <w:t xml:space="preserve">(2) Als Bunkerlieferbescheinigung nach Anhang V der Anlage VI des MARPOL-Übereinkommens gilt auch der Tanklieferschein im Sinne des Artikels 4a Absatz 6 der Schwefelrichtlinie.</w:t>
      </w:r>
    </w:p>
    <w:p>
      <w:r>
        <w:rPr>
          <w:color w:val="555555"/>
          <w:sz w:val="17"/>
        </w:rPr>
        <w:t xml:space="preserve">Zitiervorschlag: § 2 SeeUmwVerhV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https://recht.nulegal.eu/gesetze/SeeUmwVerhV/2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