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SeeUmwVerhV — Mitführen von Dokumenten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Schiffsführer ist verpflichtet, nach Maßgabe der Nummern 1 und 2 das jeweils dort genannte Dokument mitzuführen und auf Verlangen der Bediensteten der zuständigen Behörden zur Prüfung auszuhändigen:</w:t>
      </w:r>
    </w:p>
    <w:p>
      <w:pPr>
        <w:ind w:left="420"/>
      </w:pPr>
      <w:r>
        <w:t xml:space="preserve">1. für Schiffe, die die Flagge eines Mitgliedstaates der Europäischen Union oder einer Vertragspartei des AFS-Übereinkommens führen,</w:t>
      </w:r>
    </w:p>
    <w:p>
      <w:pPr>
        <w:ind w:left="780"/>
      </w:pPr>
      <w:r>
        <w:t xml:space="preserve">a) mit einer Bruttoraumzahl von 400 oder mehr: das IAFS-Zeugnis,</w:t>
      </w:r>
    </w:p>
    <w:p>
      <w:pPr>
        <w:ind w:left="780"/>
      </w:pPr>
      <w:r>
        <w:t xml:space="preserve">b) mit einer Bruttoraumzahl von weniger als 400 und einer Länge von 24 Metern oder mehr: die IAFS-Erklärung,</w:t>
      </w:r>
    </w:p>
    <w:p>
      <w:pPr>
        <w:ind w:left="420"/>
      </w:pPr>
      <w:r>
        <w:t xml:space="preserve">2. für Schiffe, die die Flagge eines anderen Staates führen, der nicht Vertragspartei des AFS-Übereinkommens ist, und die einen deutschen Hafen anlaufen oder aus ihm auslaufen, die von der Verwaltung des jeweiligen Flaggenstaates ausgestellte Bestätigung, die Artikel 2 Absatz 4 der Verordnung (EG) Nr. 536/2008 der Kommission vom 13. Juni 2008 mit Durchführungsvorschriften für Artikel 6 Absatz 3 und Artikel 7 der Verordnung (EG) Nr. 782/2003 des Europäischen Parlaments und des Rates über das Verbot zinnorganischer Verbindungen auf Schiffen und zur Änderung dieser Verordnung (ABl. L 156 vom 14.6.2008, S. 10) entsprechen muss.</w:t>
      </w:r>
    </w:p>
    <w:p>
      <w:r>
        <w:rPr>
          <w:color w:val="555555"/>
          <w:sz w:val="17"/>
        </w:rPr>
        <w:t xml:space="preserve">Zitiervorschlag: § 17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