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SeeUmwVerhV — Zuständige Behörde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Seeschifffahrt und Hydrographie ist</w:t>
      </w:r>
    </w:p>
    <w:p>
      <w:pPr>
        <w:ind w:left="420"/>
      </w:pPr>
      <w:r>
        <w:t xml:space="preserve">1. zuständige Behörde im Sinne der Anlage VI Regel 18, ausgenommen Absatz 9.2 und 9.3, des MARPOL-Übereinkommens,</w:t>
      </w:r>
    </w:p>
    <w:p>
      <w:pPr>
        <w:ind w:left="420"/>
      </w:pPr>
      <w:r>
        <w:t xml:space="preserve">2. Verwaltung im Sinne der Anlage VI Regel 18 Absatz 2.4 und 8.2 des MARPOL-Übereinkommens.</w:t>
      </w:r>
    </w:p>
    <w:p>
      <w:r>
        <w:t xml:space="preserve">Das Verzeichnis nach Anlage VI Regel 18 Absatz 9.1 des MARPOL-Übereinkommens wird mit den vom Lieferanten beantragten Angaben auf der Internetseite www.bsh.de geführt.</w:t>
      </w:r>
    </w:p>
    <w:p>
      <w:r>
        <w:rPr>
          <w:color w:val="555555"/>
          <w:sz w:val="17"/>
        </w:rPr>
        <w:t xml:space="preserve">Zitiervorschlag: § 14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