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SeeUmwVerhV — Einhaltung der Anforderungen an niederschwefligen Schiffskraftstoff</w:t>
      </w:r>
    </w:p>
    <w:p>
      <w:r>
        <w:rPr>
          <w:color w:val="555555"/>
          <w:sz w:val="18"/>
        </w:rPr>
        <w:t xml:space="preserve">See-Umweltverhaltensverordnung</w:t>
      </w:r>
    </w:p>
    <w:p>
      <w:r>
        <w:rPr>
          <w:color w:val="555555"/>
          <w:sz w:val="18"/>
        </w:rPr>
        <w:t xml:space="preserve">Stand: 10.01.2020 (konsolidierte Textfassung, kein amtliches Inkrafttretensdatum)</w:t>
      </w:r>
    </w:p>
    <w:p>
      <w:r>
        <w:t xml:space="preserve">(1) Der Schiffsführer oder der sonst für den Schiffsbetrieb Verantwortliche hat dafür zu sorgen, dass auf den in § 3 Absatz 1 Nummer 1 bezeichneten Wasserflächen und innerhalb eines Emissionsüberwachungsgebiets nur Schiffskraftstoff verfeuert wird, der den in Anlage VI Regel 18 Absatz 3.1.1.1 Satz 1, Absatz 3.1.1.2, 3.1.1.3 oder Absatz 3.2.2.1 in Verbindung mit Regel 14 Absatz 1.2, 1.3, 4.2 oder Absatz 4.3, Regel 18 Absatz 3.2.2.2 oder Absatz 3.2.2.3 des MARPOL-Übereinkommens genannten Anforderungen entspricht.</w:t>
      </w:r>
    </w:p>
    <w:p>
      <w:r>
        <w:t xml:space="preserve">(2) Die Verpflichtung zu Eintragungen nach Anlage VI Regel 14 Absatz 6 des MARPOL-Übereinkommens wird für Schiffe, die die Bundesflagge führen, durch das Schiffs- oder Maschinentagebuch nach Anlage 1 Abschnitt B.II. der Schiffssicherheitsverordnung erfüllt.</w:t>
      </w:r>
    </w:p>
    <w:p>
      <w:r>
        <w:t xml:space="preserve">(3) Der Schiffsführer oder der sonst für den Schiffsbetrieb Verantwortliche ist verpflichtet, die Bunkerlieferbescheinigung auf ihre Richtigkeit zu überprüfen. Nach dem Bunkern dürfen die in Satz 1 genannten Personen die Fahrt mit dem Schiff nur fortsetzen, wenn eine Menge an Schiffskraftstoff mit einem maximalen Schwefelgehalt entsprechend Absatz 1 vorhanden ist, die für die beabsichtigte Fahrt auf den in § 3 Absatz 1 Nummer 1 bezeichneten Wasserflächen und in einem Emissionsüberwachungsgebiet ausreicht. Dies gilt nicht in den Fällen des Absatzes 5 oder 6.</w:t>
      </w:r>
    </w:p>
    <w:p>
      <w:r>
        <w:t xml:space="preserve">(4) Die Bediensteten der Wasserschutzpolizeien können bei Verdacht von dem Schiffsführer verlangen, aus dem Brennstoffsystem, soweit durchführbar, und aus verschlossenen Behältern an Bord von Schiffen Proben zu ziehen oder ziehen zu lassen, um festzustellen, ob auf den in § 3 Absatz 1 Nummer 1 bezeichneten Wasserflächen oder innerhalb eines Emissionsüberwachungsgebiets Schiffskraftstoff mit einem über Absatz 1 hinausgehenden Schwefelgehalt verfeuert worden ist. Die Analyse der Probe hat nach Maßgabe der Norm DIN EN ISO 8754 (2003) oder DIN EN ISO 14596 (2007) zu erfolgen. Die in Satz 2 bezeichneten Normen sind bei der Beuth-Verlag-GmbH, Berlin und Köln, erschienen und beim Deutschen Patent- und Markenamt in München archivmäßig gesichert hinterlegt.</w:t>
      </w:r>
    </w:p>
    <w:p>
      <w:r>
        <w:t xml:space="preserve">(5) Über die Gestattung eines gleichwertigen Ersatzes im Sinne der Anlage VI Regel 4 des MARPOL-Übereinkommens zur Erreichung der Anforderungen an schwefelarmen Schiffskraftstoff entscheiden die Berufsgenossenschaft Verkehrswirtschaft Post-Logistik Telekommunikation in Bezug auf schiffsbezogene technische Maßnahmen und das Bundesamt für Seeschifffahrt und Hydrographie für sonstige, insbesondere organisatorische Maßnahmen nach folgenden Maßgaben:</w:t>
      </w:r>
    </w:p>
    <w:p>
      <w:pPr>
        <w:ind w:left="420"/>
      </w:pPr>
      <w:r>
        <w:t xml:space="preserve">1. Die Gestattung erfolgt auf Antrag als Zulassung eines emissionsmindernden Verfahrens im Sinne des Artikels 2 Nummer 3m der Schwefelrichtlinie; die Zulassung darf nur erteilt werden, wenn die Anforderungen des Artikels 4c Absatz 2, 3 und 4 der Schwefelrichtlinie erfüllt werden.</w:t>
      </w:r>
    </w:p>
    <w:p>
      <w:pPr>
        <w:ind w:left="420"/>
      </w:pPr>
      <w:r>
        <w:t xml:space="preserve">2. Emissionsmindernde Verfahren, die in den Verfahren nach Artikel 4d der Schwefelrichtlinie genehmigt worden sind, gelten als zugelassen.</w:t>
      </w:r>
    </w:p>
    <w:p>
      <w:r>
        <w:t xml:space="preserve">(6) Die Berufsgenossenschaft Verkehrswirtschaft Post-Logistik Telekommunikation darf die Befreiung nach Anlage VI Regel 3 Absatz 2 des MARPOL-Übereinkommens auf Antrag nur nach Maßgabe des Artikels 4e der Schwefelrichtlinie gewähren.</w:t>
      </w:r>
    </w:p>
    <w:p>
      <w:r>
        <w:t xml:space="preserve">(7) Das Einleiten von Waschwasser aus Abgasreinigungssystemen auf Seewasserstraßen und in der ausschließlichen Wirtschaftszone ist verboten, soweit nicht nachgewiesen ist, dass die Waschwassereinleitung keine erheblichen negativen Auswirkungen auf die menschliche Gesundheit und die Umwelt hat. Handelt es sich bei der eingesetzten Chemikalie um Natronlauge, genügt es, dass das Waschwasser den Kriterien der von dem Ausschuss für den Schutz der Meeresumwelt der Internationalen Seeschifffahrts-Organisation (MEPC.184(59)) angenommenen Richtlinien für Abgasreinigungssysteme 2009 (VkBl. 2010 S. 341) entspricht und sein pH-Wert nicht mehr als 8,0 beträgt.</w:t>
      </w:r>
    </w:p>
    <w:p>
      <w:r>
        <w:t xml:space="preserve">(8) Die Absätze 1 bis 4 gelten nicht, soweit § 4 Absatz 5 der Verordnung über die Beschaffenheit und die Auszeichnung der Qualitäten von Kraft- und Brennstoffen vom 8. Dezember 2010 (BGBl. I S. 1849), die zuletzt durch Artikel 1 der Verordnung vom 13. Dezember 2019 (BGBl. I S. 2739) geändert worden ist, anzuwenden ist.</w:t>
      </w:r>
    </w:p>
    <w:p>
      <w:r>
        <w:rPr>
          <w:color w:val="555555"/>
          <w:sz w:val="17"/>
        </w:rPr>
        <w:t xml:space="preserve">Zitiervorschlag: § 13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