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SeeUmwVerhV — Fanggerät</w:t>
      </w:r>
    </w:p>
    <w:p>
      <w:r>
        <w:rPr>
          <w:color w:val="555555"/>
          <w:sz w:val="18"/>
        </w:rPr>
        <w:t xml:space="preserve">See-Umweltverhaltensverordnung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Zuständige Behörde für die Meldung nach Anlage V Regel 10 Absatz 6 des MARPOL-Übereinkommens über den Verlust oder das Einbringen von Fanggerät ist das örtlich zuständige Wasserstraßen- und Schifffahrtsamt. Die Meldung hat an die Verkehrszentrale des Wasserstraßen- und Schifffahrtsamtes über UKW-Sprechfunk zu erfolgen.</w:t>
      </w:r>
    </w:p>
    <w:p>
      <w:r>
        <w:rPr>
          <w:color w:val="555555"/>
          <w:sz w:val="17"/>
        </w:rPr>
        <w:t xml:space="preserve">Zitiervorschlag: § 12 SeeUmwVerhV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https://recht.nulegal.eu/gesetze/SeeUmwVerhV/12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