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SeeUmwVerhV — Ziele</w:t>
      </w:r>
    </w:p>
    <w:p>
      <w:r>
        <w:rPr>
          <w:color w:val="555555"/>
          <w:sz w:val="18"/>
        </w:rPr>
        <w:t xml:space="preserve">See-Umweltverhaltensverordnung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</w:t>
      </w:r>
    </w:p>
    <w:p>
      <w:pPr>
        <w:ind w:left="420"/>
      </w:pPr>
      <w:r>
        <w:t xml:space="preserve">1. Anforderungen an das umweltgerechte Verhalten in der Schifffahrt,</w:t>
      </w:r>
    </w:p>
    <w:p>
      <w:pPr>
        <w:ind w:left="420"/>
      </w:pPr>
      <w:r>
        <w:t xml:space="preserve">2. die Ahndung von Verstößen gegen die in Nummer 1 genannten Anforderungen, insbesondere von Verstößen gegen Vorschriften des</w:t>
      </w:r>
    </w:p>
    <w:p>
      <w:pPr>
        <w:ind w:left="780"/>
      </w:pPr>
      <w:r>
        <w:t xml:space="preserve">a) MARPOL-Übereinkommens,</w:t>
      </w:r>
    </w:p>
    <w:p>
      <w:pPr>
        <w:ind w:left="780"/>
      </w:pPr>
      <w:r>
        <w:t xml:space="preserve">b) AFS-Übereinkommens,</w:t>
      </w:r>
    </w:p>
    <w:p>
      <w:pPr>
        <w:ind w:left="780"/>
      </w:pPr>
      <w:r>
        <w:t xml:space="preserve">c) Ballastwasser-Übereinkommens.</w:t>
      </w:r>
    </w:p>
    <w:p>
      <w:r>
        <w:rPr>
          <w:color w:val="555555"/>
          <w:sz w:val="17"/>
        </w:rPr>
        <w:t xml:space="preserve">Zitiervorschlag: § 1 SeeUmwVerhV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https://recht.nulegal.eu/gesetze/SeeUmwVerhV/1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