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SeeUGDV — Mehrere Zuständigkeiten</w:t>
      </w:r>
    </w:p>
    <w:p>
      <w:r>
        <w:rPr>
          <w:color w:val="555555"/>
          <w:sz w:val="18"/>
        </w:rPr>
        <w:t xml:space="preserve">Verordnung zur Durchführung des Seesicherheits-Untersuchungs-Gesetzes</w:t>
      </w:r>
    </w:p>
    <w:p>
      <w:r>
        <w:rPr>
          <w:color w:val="555555"/>
          <w:sz w:val="18"/>
        </w:rPr>
        <w:t xml:space="preserve">Historische Fassung: Stand 10.06.2019 bis 01.01.2025. Dies ist nicht die aktuelle Fassung.</w:t>
      </w:r>
    </w:p>
    <w:p>
      <w:r>
        <w:t xml:space="preserve">Mehrere Verfahren, denen ein gleicher Sachverhalt zugrunde liegt, sollen nicht von unterschiedlichen Seeämtern durchgeführt werden. Zuständig ist das Seeamt, das als erstes den Sachverhalt zugrunde gelegt hat, sonst das Seeamt, das der Vorsitzende bestimmt.</w:t>
      </w:r>
    </w:p>
    <w:p>
      <w:r>
        <w:rPr>
          <w:color w:val="555555"/>
          <w:sz w:val="17"/>
        </w:rPr>
        <w:t xml:space="preserve">Zitiervorschlag: § 4b SeeUGDV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https://recht.nulegal.eu/gesetze/SeeUGDV/4b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