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SeeStrOV</w:t>
      </w:r>
    </w:p>
    <w:p>
      <w:r>
        <w:rPr>
          <w:color w:val="555555"/>
          <w:sz w:val="18"/>
        </w:rPr>
        <w:t xml:space="preserve">Verordnung zu den Internationalen Regeln von 1972 zur Verhütung von Zusammenstößen auf 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Abs. 1 Satz 1 Nr. 1, 2 und 4 des Gesetzes über die Aufgaben des Bundes auf dem Gebiet der Seeschiffahrt vom 24. Mai 1965 (BGBl. II S. 833), geändert durch Artikel 2 des Gesetzes zu dem Übereinkommen vom 20. Oktober 1972 über die Internationalen Regeln zur Verhütung von Zusammenstößen auf See vom 29. Juni 1976 (BGBl. II S. 1017), und des § 36 Abs. 3 des Gesetzes über Ordnungswidrigkeiten, wird verordnet:</w:t>
      </w:r>
    </w:p>
    <w:p>
      <w:r>
        <w:rPr>
          <w:color w:val="555555"/>
          <w:sz w:val="17"/>
        </w:rPr>
        <w:t xml:space="preserve">Zitiervorschlag: Eingangsformel SeeStrOV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