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SeeStrOV — Ordnungswidrigkeiten</w:t>
      </w:r>
    </w:p>
    <w:p>
      <w:r>
        <w:rPr>
          <w:color w:val="555555"/>
          <w:sz w:val="18"/>
        </w:rPr>
        <w:t xml:space="preserve">Verordnung zu den Internationalen Regeln von 1972 zur Verhütung von Zusammenstößen auf See</w:t>
      </w:r>
    </w:p>
    <w:p>
      <w:r>
        <w:rPr>
          <w:color w:val="555555"/>
          <w:sz w:val="18"/>
        </w:rPr>
        <w:t xml:space="preserve">Stand: 10.06.2019 (konsolidierte Textfassung, kein amtliches Inkrafttretensdatum)</w:t>
      </w:r>
    </w:p>
    <w:p>
      <w:r>
        <w:t xml:space="preserve">(1) Ordnungswidrig im Sinne des § 15 Abs. 1 Nr. 2 des Seeaufgabengesetzes handelt, wer vorsätzlich oder fahrlässig</w:t>
      </w:r>
    </w:p>
    <w:p>
      <w:pPr>
        <w:ind w:left="420"/>
      </w:pPr>
      <w:r>
        <w:t xml:space="preserve">1. entgegen § 3 Abs. 1 Satz 1 sich nicht so verhält, dass kein Anderer geschädigt, gefährdet oder mehr, als nach den Umständen unvermeidbar, behindert oder belästigt wird,</w:t>
      </w:r>
    </w:p>
    <w:p>
      <w:pPr>
        <w:ind w:left="420"/>
      </w:pPr>
      <w:r>
        <w:t xml:space="preserve">2. entgegen § 3 Abs. 3 ein Fahrzeug führt oder eine andere Tätigkeit des Brücken-, Decks- oder Maschinendienstes ausübt, obwohl er infolge körperlicher oder geistiger Mängel oder des Genusses alkoholischer Getränke oder anderer berauschender Mittel in der sicheren Führung des Fahrzeuges oder in der sicheren Ausübung der Tätigkeiten des Brücken-, Decks- oder Maschinendienstes behindert ist,</w:t>
      </w:r>
    </w:p>
    <w:p>
      <w:pPr>
        <w:ind w:left="420"/>
      </w:pPr>
      <w:r>
        <w:t xml:space="preserve">2a. entgegen § 3 Abs. 4 ein Fahrzeug führt oder eine andere Tätigkeit des Brücken-, Decks- oder Maschinendienstes ausübt, obwohl er 0,25 mg/l oder mehr Alkohol in der Atemluft oder 0,5 Promille oder mehr Alkohol im Blut oder eine Alkoholmenge im Körper hat, die zu einer solchen Atem- oder Blutalkoholkonzentration führt,</w:t>
      </w:r>
    </w:p>
    <w:p>
      <w:pPr>
        <w:ind w:left="420"/>
      </w:pPr>
      <w:r>
        <w:t xml:space="preserve">2b. entgegen § 3 Abs. 5 während der Fahrt alkoholische Getränke zu sich nimmt oder bei Dienstantritt unter der Wirkung solcher Getränke steht,</w:t>
      </w:r>
    </w:p>
    <w:p>
      <w:pPr>
        <w:ind w:left="420"/>
      </w:pPr>
      <w:r>
        <w:t xml:space="preserve">3. als Seelotse entgegen § 4 Abs. 2 den Fahrzeugführer oder dessen Vertreter nicht oder nicht ausreichend berät,</w:t>
      </w:r>
    </w:p>
    <w:p>
      <w:pPr>
        <w:ind w:left="420"/>
      </w:pPr>
      <w:r>
        <w:t xml:space="preserve">4. entgegen § 4 Abs. 4 den verantwortlichen Fahrzeugführer nicht bestimmt,</w:t>
      </w:r>
    </w:p>
    <w:p>
      <w:pPr>
        <w:ind w:left="420"/>
      </w:pPr>
      <w:r>
        <w:t xml:space="preserve">5. entgegen § 7 Abs. 2 Sicherheitszonen befährt,</w:t>
      </w:r>
    </w:p>
    <w:p>
      <w:pPr>
        <w:ind w:left="420"/>
      </w:pPr>
      <w:r>
        <w:t xml:space="preserve">6. entgegen Regel 5 der Internationalen Regeln nicht für gehörigen Ausguck sorgt,</w:t>
      </w:r>
    </w:p>
    <w:p>
      <w:pPr>
        <w:ind w:left="420"/>
      </w:pPr>
      <w:r>
        <w:t xml:space="preserve">7. entgegen Regel 6 nicht mit einer sicheren Geschwindigkeit fährt,</w:t>
      </w:r>
    </w:p>
    <w:p>
      <w:pPr>
        <w:ind w:left="420"/>
      </w:pPr>
      <w:r>
        <w:t xml:space="preserve">8. gegen eine Vorschrift der Regel 7 über die Feststellung der Möglichkeit der Gefahr eines Zusammenstoßes verstößt, insbesondere eine vorhandene und betriebsfähige Radaranlage nicht gehörig gebraucht,</w:t>
      </w:r>
    </w:p>
    <w:p>
      <w:pPr>
        <w:ind w:left="420"/>
      </w:pPr>
      <w:r>
        <w:t xml:space="preserve">9. einer Vorschrift der Regel 8 über Manöver zur Vermeidung von Zusammenstößen zuwiderhandelt,</w:t>
      </w:r>
    </w:p>
    <w:p>
      <w:pPr>
        <w:ind w:left="420"/>
      </w:pPr>
      <w:r>
        <w:t xml:space="preserve">10. gegen eine Vorschrift der Regel 9 über das Verhalten in engen Fahrwassern verstößt,</w:t>
      </w:r>
    </w:p>
    <w:p>
      <w:pPr>
        <w:ind w:left="420"/>
      </w:pPr>
      <w:r>
        <w:t xml:space="preserve">11. einer Vorschrift der Regel 10 in Verbindung mit § 6 über das Verhalten im Bereich von Verkehrstrennungsgebieten und über das Befahren von Küstenverkehrszonen zuwiderhandelt,</w:t>
      </w:r>
    </w:p>
    <w:p>
      <w:pPr>
        <w:ind w:left="420"/>
      </w:pPr>
      <w:r>
        <w:t xml:space="preserve">12. einer Vorschrift der Regel 12 über das Ausweichen von Segelfahrzeugen untereinander zuwiderhandelt,</w:t>
      </w:r>
    </w:p>
    <w:p>
      <w:pPr>
        <w:ind w:left="420"/>
      </w:pPr>
      <w:r>
        <w:t xml:space="preserve">13. gegen eine Vorschrift der Regel 13 über das Ausweichen beim Überholen verstößt,</w:t>
      </w:r>
    </w:p>
    <w:p>
      <w:pPr>
        <w:ind w:left="420"/>
      </w:pPr>
      <w:r>
        <w:t xml:space="preserve">14. entgegen Regel 14 bei entgegengesetzten oder fast entgegengesetzten Kursen nicht seinen Kurs nach Steuerbord so ändert, daß die Fahrzeuge einander an Backbordseite passieren,</w:t>
      </w:r>
    </w:p>
    <w:p>
      <w:pPr>
        <w:ind w:left="420"/>
      </w:pPr>
      <w:r>
        <w:t xml:space="preserve">15. entgegen Regel 15 bei kreuzenden Kursen nicht ausweicht,</w:t>
      </w:r>
    </w:p>
    <w:p>
      <w:pPr>
        <w:ind w:left="420"/>
      </w:pPr>
      <w:r>
        <w:t xml:space="preserve">16. entgegen Regel 16 als Ausweichpflichtiger nicht frühzeitig und durchgreifend handelt, um sich gut klar zu halten,</w:t>
      </w:r>
    </w:p>
    <w:p>
      <w:pPr>
        <w:ind w:left="420"/>
      </w:pPr>
      <w:r>
        <w:t xml:space="preserve">17. gegen eine Vorschrift der Regel 17 über das Verhalten als Kurshalter verstößt,</w:t>
      </w:r>
    </w:p>
    <w:p>
      <w:pPr>
        <w:ind w:left="420"/>
      </w:pPr>
      <w:r>
        <w:t xml:space="preserve">18. einer Vorschrift der Regel 18 über das Ausweichen oder die Pflicht, nicht die sichere Durchfahrt eines tiefgangbehinderten Fahrzeugs zu behindern oder als tiefgangbehindertes Fahrzeug mit besonderer Vorsicht zu navigieren, zuwiderhandelt,</w:t>
      </w:r>
    </w:p>
    <w:p>
      <w:pPr>
        <w:ind w:left="420"/>
      </w:pPr>
      <w:r>
        <w:t xml:space="preserve">19. gegen eine Vorschrift der Regel 19 über das Verhalten von Fahrzeugen bei verminderter Sicht verstößt,</w:t>
      </w:r>
    </w:p>
    <w:p>
      <w:pPr>
        <w:ind w:left="420"/>
      </w:pPr>
      <w:r>
        <w:t xml:space="preserve">20. einer Vorschrift der Regel 20 Buchstaben a bis d, der Regeln 23 bis 27 oder der Regeln 29 bis 31 über das Führen oder Zeigen von Lichtern oder Signalkörpern oder das Zurhandhalten und Zeigen von elektrischen Lampen oder Laternen zuwiderhandelt,</w:t>
      </w:r>
    </w:p>
    <w:p>
      <w:pPr>
        <w:ind w:left="420"/>
      </w:pPr>
      <w:r>
        <w:t xml:space="preserve">21. entgegen Regel 20 Buchstabe e Lichter oder Signalkörper führt oder zeigt, die nicht den Bestimmungen der Anlage I entsprechen,</w:t>
      </w:r>
    </w:p>
    <w:p>
      <w:pPr>
        <w:ind w:left="420"/>
      </w:pPr>
      <w:r>
        <w:t xml:space="preserve">22. gegen eine Vorschrift der Regel 22 über die Verwendung von Lichtern mit den vorgeschriebenen Mindesttragweiten verstößt,</w:t>
      </w:r>
    </w:p>
    <w:p>
      <w:pPr>
        <w:ind w:left="420"/>
      </w:pPr>
      <w:r>
        <w:t xml:space="preserve">23. entgegen Regel 33 nicht die vorgeschriebenen Schallsignalanlagen oder anderen Geräte zur Abgabe eines Schallsignals mitführt oder Schallsignalanlagen mitführt, die nicht den Bestimmungen der Anlage III entsprechen,</w:t>
      </w:r>
    </w:p>
    <w:p>
      <w:pPr>
        <w:ind w:left="420"/>
      </w:pPr>
      <w:r>
        <w:t xml:space="preserve">24. einer Vorschrift der Regel 34 oder 35 über die Abgabe von Schall- oder Lichtsignalen zuwiderhandelt,</w:t>
      </w:r>
    </w:p>
    <w:p>
      <w:pPr>
        <w:ind w:left="420"/>
      </w:pPr>
      <w:r>
        <w:t xml:space="preserve">25. entgegen Regel 36 Aufmerksamkeitssignale abgibt, die mit anderen Signalen oder Schiffahrtszeichen verwechselt werden können, oder den Scheinwerfer auf eine Gefahr richtet, wenn dadurch andere Fahrzeuge verwirrt werden,</w:t>
      </w:r>
    </w:p>
    <w:p>
      <w:pPr>
        <w:ind w:left="420"/>
      </w:pPr>
      <w:r>
        <w:t xml:space="preserve">26. entgegen Regel 37 bei Hilfeanforderungen im Notfall nicht die in der Anlage IV beschriebenen Notzeichen benutzt oder zeigt oder</w:t>
      </w:r>
    </w:p>
    <w:p>
      <w:pPr>
        <w:ind w:left="420"/>
      </w:pPr>
      <w:r>
        <w:t xml:space="preserve">27. entgegen Anlage IV Nr. 2 der Internationalen Regeln Notzeichen verwendet oder zeigt, obwohl ein Notfall nicht vorliegt, oder Signale verwendet, die mit den Notzeichen verwechselt werden können.</w:t>
      </w:r>
    </w:p>
    <w:p>
      <w:r>
        <w:t xml:space="preserve">(2) Die Zuständigkeit für die Verfolgung und Ahndung von Ordnungswidrigkeiten nach Absatz 1 wird auf die Generaldirektion Wasserstraßen und Schifffahrt übertragen.</w:t>
      </w:r>
    </w:p>
    <w:p>
      <w:r>
        <w:rPr>
          <w:color w:val="555555"/>
          <w:sz w:val="17"/>
        </w:rPr>
        <w:t xml:space="preserve">Zitiervorschlag: § 9 SeeStrOV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