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SeeStrOV — Überwachung, Befreiung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03.03.2022 (konsolidierte Textfassung, kein amtliches Inkrafttretensdatum)</w:t>
      </w:r>
    </w:p>
    <w:p>
      <w:r>
        <w:t xml:space="preserve">(1) Für die Überwachung der Vorschriften dieser Verordnung sind die Strom- und Schiffahrtpolizeibehörden nach Maßgabe des § 55 der Seeschiffahrtstraßen-Ordnung zuständig; § 5 Abs. 1 Satz 2 Nr. 1 und § 6 Abs. 1 des Seeaufgabengesetzes bleiben unberührt.</w:t>
      </w:r>
    </w:p>
    <w:p>
      <w:r>
        <w:t xml:space="preserve">(2) Die Strom- und Schiffahrtpolizeibehörden können von den Vorschriften dieser Verordnung im Einzelfall befreien, soweit dies nach den Internationalen Regeln zulässig ist.</w:t>
      </w:r>
    </w:p>
    <w:p>
      <w:r>
        <w:rPr>
          <w:color w:val="555555"/>
          <w:sz w:val="17"/>
        </w:rPr>
        <w:t xml:space="preserve">Zitiervorschlag: § 8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