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SeeStrOV — Auskunft auf Ersuchen</w:t>
      </w:r>
    </w:p>
    <w:p>
      <w:r>
        <w:rPr>
          <w:color w:val="555555"/>
          <w:sz w:val="18"/>
        </w:rPr>
        <w:t xml:space="preserve">Verordnung zu den Internationalen Regeln von 1972 zur Verhütung von Zusammenstößen auf See</w:t>
      </w:r>
    </w:p>
    <w:p>
      <w:r>
        <w:rPr>
          <w:color w:val="555555"/>
          <w:sz w:val="18"/>
        </w:rPr>
        <w:t xml:space="preserve">Stand: 10.06.2019 (konsolidierte Textfassung, kein amtliches Inkrafttretensdatum)</w:t>
      </w:r>
    </w:p>
    <w:p>
      <w:r>
        <w:t xml:space="preserve">(1) Wird der Fahrzeugführer eines Schiffes, das sich in der ausschließlichen Wirtschaftszone oder dem Küstenmeer eines anderen Staates befindet, von den Behörden dieses Staates mit der Begründung, daß er gegen anwendbare internationale Regeln und Normen zur Verhütung, Verringerung und Überwachung der Verschmutzung durch Schiffe verstoßen habe, ersucht, Angaben über die Identität und den Registerhafen, den letzten oder nächsten Anlaufhafen seines Schiffes und andere sachdienliche Angaben zu machen, die erforderlich sind, um festzustellen, ob ein Verstoß erfolgt ist, so hat er diesem Ersuchen nachzukommen.</w:t>
      </w:r>
    </w:p>
    <w:p>
      <w:r>
        <w:t xml:space="preserve">(2) Wird der Fahrzeugführer eines Schiffes im Küstenmeer anderer Staaten, die mit einem oder mehreren anderen Staaten für das Einlaufen in ihre Häfen oder inneren Gewässer oder für das Anlegen an ihren vor der Küste liegenden Umschlagplätzen gemeinsame Bedingungen zur Verhütung, Verringerung und Überwachung der Verschmutzung der Meeresumwelt erlassen haben, von den Behörden des Küstenstaates ersucht, Auskunft darüber zu geben, ob das Schiff zu einem Staat derselben Region, der an der gemeinsamen Regelung beteiligt ist, weiterfährt und gegebenenfalls die von diesem Staat für das Anlaufen in seine Häfen festgelegten Bedingungen erfüllt, so hat er diesem Ersuchen nachzukommen.</w:t>
      </w:r>
    </w:p>
    <w:p>
      <w:r>
        <w:t xml:space="preserve">(3) Das Bundesministerium für Verkehr macht die in Absatz 2 genannten Staaten in den Nachrichten für Seefahrer (Amtliche Veröffentlichung für die Seeschiffahrt des Bundesamtes für Seeschiffahrt und Hydrographie) bekannt.</w:t>
      </w:r>
    </w:p>
    <w:p>
      <w:r>
        <w:rPr>
          <w:color w:val="555555"/>
          <w:sz w:val="17"/>
        </w:rPr>
        <w:t xml:space="preserve">Zitiervorschlag: § 7a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