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SeeStrOV — Sicherheitszonen</w:t>
      </w:r>
    </w:p>
    <w:p>
      <w:r>
        <w:rPr>
          <w:color w:val="555555"/>
          <w:sz w:val="18"/>
        </w:rPr>
        <w:t xml:space="preserve">Verordnung zu den Internationalen Regeln von 1972 zur Verhütung von Zusammenstößen auf See</w:t>
      </w:r>
    </w:p>
    <w:p>
      <w:r>
        <w:rPr>
          <w:color w:val="555555"/>
          <w:sz w:val="18"/>
        </w:rPr>
        <w:t xml:space="preserve">Stand: 03.03.2022 (konsolidierte Textfassung, kein amtliches Inkrafttretensdatum)</w:t>
      </w:r>
    </w:p>
    <w:p>
      <w:r>
        <w:t xml:space="preserve">(1) Sicherheitszonen sind Wasserflächen, die sich in einem Abstand von 500 m, gemessen von jedem Punkt des äußeren Randes, um Anlagen oder sonstige Vorrichtungen zur wissenschaftlichen Meeresforschung oder zur Erforschung oder Ausbeutung von Naturschätzen erstrecken. Die nach § 53 des Windenergie-auf-See-Gesetzes, nach § 10 des Seeanlagengesetzes oder nach § 11 der Seeanlagenverordnung von der zuständigen Genehmigungsbehörde eingerichteten Sicherheitszonen gelten als Sicherheitszonen im Sinne dieser Verordnung.</w:t>
      </w:r>
    </w:p>
    <w:p>
      <w:r>
        <w:t xml:space="preserve">(2) Sicherheitszonen dürfen nicht befahren werden; dies gilt nicht für Fahrzeuge, die für die Versorgung der Anlagen oder Vorrichtungen eingesetzt sind sowie vorbehaltlich des Absatzes 3 für Fahrzeuge deren Rumpflänge 24 Meter nicht übersteigt oder die vom Befahrensverbot befreit sind.</w:t>
      </w:r>
    </w:p>
    <w:p>
      <w:r>
        <w:t xml:space="preserve">(3) Die Generaldirektion Wasserstraßen und Schifffahrt kann durch Allgemeinverfügung nach § 35 Satz 2 des Verwaltungsverfahrensgesetzes oder im Einzelfall Einzelheiten des Befahrensverbotes regeln und Befreiungen vom Befahrensverbot auch mit Auflagen oder Bedingungen, bei Sicherheitszonen nach § 53 des Windenergie-auf-See-Gesetzes, § 10 des Seeanlagengesetzes oder nach § 11 der Seeanlagenverordnung im Einvernehmen mit dem Bundesamt für Seeschifffahrt und Hydrographie, zulassen, soweit dies mit den Anforderungen der Sicherheit und Leichtigkeit des Verkehrs vereinbar ist. Sie legt ferner nach den in Satz 1 genannten Voraussetzungen und Verfahren die Bedingungen für die Befreiung vom Befahrensverbot für Fahrzeuge, deren Rumpflänge 24 Meter nicht übersteigt, fest. Die insoweit erlassenen Allgemeinverfügungen werden nach Maßgabe des § 54 des Windenergie-auf-See-Gesetzes und des § 11 des Seeanlagengesetzes bekannt gemacht sowie von der Generaldirektion Wasserstraßen und Schifffahrt im Elektronischen Wasserstraßen-Informationsservice[*] nachrichtlich veröffentlicht.</w:t>
      </w:r>
    </w:p>
    <w:p>
      <w:r>
        <w:t xml:space="preserve">* Amtlicher Hinweis: https://www.elwis.de</w:t>
      </w:r>
    </w:p>
    <w:p>
      <w:r>
        <w:rPr>
          <w:color w:val="555555"/>
          <w:sz w:val="17"/>
        </w:rPr>
        <w:t xml:space="preserve">Zitiervorschlag: § 7 SeeStrOV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